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1" w:name="assumption-ledger-living"/>
    <w:p>
      <w:pPr>
        <w:pStyle w:val="Heading1"/>
      </w:pPr>
      <w:r>
        <w:t xml:space="preserve">07 — Assumption Ledger (living)</w:t>
      </w:r>
    </w:p>
    <w:p>
      <w:pPr>
        <w:pStyle w:val="FirstParagraph"/>
      </w:pPr>
      <w:r>
        <w:rPr>
          <w:bCs/>
          <w:b/>
        </w:rPr>
        <w:t xml:space="preserve">Project:</w:t>
      </w:r>
      <w:r>
        <w:t xml:space="preserve"> </w:t>
      </w:r>
      <w:r>
        <w:t xml:space="preserve">Kingsford Hotel Bacolod — BMS</w:t>
      </w:r>
      <w:r>
        <w:t xml:space="preserve"> </w:t>
      </w:r>
      <w:r>
        <w:rPr>
          <w:bCs/>
          <w:b/>
        </w:rPr>
        <w:t xml:space="preserve">Last updated:</w:t>
      </w:r>
      <w:r>
        <w:t xml:space="preserve"> </w:t>
      </w:r>
      <w:r>
        <w:t xml:space="preserve">2026-04-28</w:t>
      </w:r>
    </w:p>
    <w:p>
      <w:pPr>
        <w:pStyle w:val="BodyText"/>
      </w:pPr>
      <w:r>
        <w:t xml:space="preserve">Each assumption is recorded with rationale, basis, and impact-if-wrong. Phase 7 consolidates and reviews this ledger; phases prior write/update entries as they are made.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36"/>
        <w:gridCol w:w="939"/>
        <w:gridCol w:w="1610"/>
        <w:gridCol w:w="2550"/>
        <w:gridCol w:w="228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Basis / rationale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wrong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is greenfield (new construction), not rehabilitation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Construction Bulletin No.8 dated Nov-2025;</w:t>
            </w:r>
            <w:r>
              <w:t xml:space="preserve"> </w:t>
            </w:r>
            <w:r>
              <w:t xml:space="preserve">“</w:t>
            </w:r>
            <w:r>
              <w:t xml:space="preserve">For Construction</w:t>
            </w:r>
            <w:r>
              <w:t xml:space="preserve">”</w:t>
            </w:r>
            <w:r>
              <w:t xml:space="preserve"> </w:t>
            </w:r>
            <w:r>
              <w:t xml:space="preserve">status; design revisions for new kitchen layout; no existing-system inventory in inputs. Cover-letter wording disagrees → Q-015.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actually rehab: add demolition takeoff, after-hours premiums, hot-cutover plan, existing-cable reuse evaluation. Cost impact ±25–30%.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 = Medium (PHP 25M–50M); ~600–700 BMS hardwired points + ~67 HLI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Project-specific BMS Points list summary; typical hospitality density.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actually large: add senior PM, double-shift T&amp;C, additional supervisory engineer. ±15% on manhours.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Building floor count: B1, LG, GF, 2F, 3F, 4F–9F (typical guestroom), Roof Deck — ~10–11 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ECE auxiliary plans per floor (page 11–22) + BMS Points list level references. Subject to Q-001/Q-004.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risers ±1 floor per assumption error (~30–50 m per riser).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scope</w:t>
            </w:r>
            <w:r>
              <w:t xml:space="preserve"> </w:t>
            </w:r>
            <w:r>
              <w:rPr>
                <w:bCs/>
                <w:b/>
              </w:rPr>
              <w:t xml:space="preserve">excludes</w:t>
            </w:r>
            <w:r>
              <w:t xml:space="preserve"> </w:t>
            </w:r>
            <w:r>
              <w:t xml:space="preserve">per-room guestroom HVAC controls (FCU thermostats, occupancy sensors, PMS-driven setbacks)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Project-specific BMS Points list shows no guestroom FCU points.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included: add ~2,000–4,000 points + per-room FCU controllers + thermostats + PMS gateway → +PHP 8M–15M. → Q-001.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Mechanical layouts per typical hotel density: 1 plant room (B1/2F), AHU/DOAS in mechanical rooms per floor zone, exhaust fans on roof, calorifiers at LG and Roof Deck (per BMS Points list zoning)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Points list zone tags (LG, 2F, RD); ECE plans show plant-room outlines.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Equipment placement ±15 m typical floor, affects cable lengths only. → Q-002.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LAN: isolated Layer-2 BMS network, single managed uplink to customer LAN; BACnet/IP at head-end and supervisory level, BACnet MS/TP at field controllers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Megaworld MC Standards (DRC-004-2024) cited convention; internal preferred topology.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full IP-to-field: add per-controller IP licensing + larger switch count. ±PHP 1–2M. → Q-007.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 preference:</w:t>
            </w:r>
            <w:r>
              <w:t xml:space="preserve"> </w:t>
            </w:r>
            <w:r>
              <w:rPr>
                <w:bCs/>
                <w:b/>
              </w:rPr>
              <w:t xml:space="preserve">Siemens</w:t>
            </w:r>
            <w:r>
              <w:t xml:space="preserve"> </w:t>
            </w:r>
            <w:r>
              <w:t xml:space="preserve">for BMS controllers / DDC / supervisory / PLC / FDAS / SCADA;</w:t>
            </w:r>
            <w:r>
              <w:t xml:space="preserve"> </w:t>
            </w:r>
            <w:r>
              <w:rPr>
                <w:bCs/>
                <w:b/>
              </w:rPr>
              <w:t xml:space="preserve">Dell</w:t>
            </w:r>
            <w:r>
              <w:t xml:space="preserve"> </w:t>
            </w:r>
            <w:r>
              <w:t xml:space="preserve">for head-end PCs/servers; managed switches Cisco/Aruba; UPS APC/Eaton; BTU/power meters Belimo + 7KM (Siemens SENTRON family)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Megaworld customer-kb is STUB; internal preferred per</w:t>
            </w:r>
            <w:r>
              <w:t xml:space="preserve"> </w:t>
            </w:r>
            <w:r>
              <w:rPr>
                <w:rStyle w:val="VerbatimChar"/>
              </w:rPr>
              <w:t xml:space="preserve">_playbook/checklists/preferred-brands.md</w:t>
            </w:r>
            <w:r>
              <w:t xml:space="preserve">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customer brand-locks otherwise: re-quote at customer-approved brand prices (typical ±5–15%). → Q-008.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PMS (hotel property management system) integration is</w:t>
            </w:r>
            <w:r>
              <w:t xml:space="preserve"> </w:t>
            </w:r>
            <w:r>
              <w:rPr>
                <w:bCs/>
                <w:b/>
              </w:rPr>
              <w:t xml:space="preserve">not</w:t>
            </w:r>
            <w:r>
              <w:t xml:space="preserve"> </w:t>
            </w:r>
            <w:r>
              <w:t xml:space="preserve">in BMS base scope; provided as priced optional add-on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 letter is silent; per Megaworld</w:t>
            </w:r>
            <w:r>
              <w:t xml:space="preserve"> </w:t>
            </w:r>
            <w:r>
              <w:rPr>
                <w:rStyle w:val="VerbatimChar"/>
              </w:rPr>
              <w:t xml:space="preserve">bms-hospitality-casino</w:t>
            </w:r>
            <w:r>
              <w:t xml:space="preserve"> </w:t>
            </w:r>
            <w:r>
              <w:t xml:space="preserve">checklist default.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required: add ~PHP 800K (gateway + custom mapping). → Q-009.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Casino-zone special points (vault, count-room, smoking exhaust) covered at default minimums per</w:t>
            </w:r>
            <w:r>
              <w:t xml:space="preserve"> </w:t>
            </w:r>
            <w:r>
              <w:rPr>
                <w:rStyle w:val="VerbatimChar"/>
              </w:rPr>
              <w:t xml:space="preserve">bms-hospitality-casino</w:t>
            </w:r>
            <w:r>
              <w:t xml:space="preserve"> </w:t>
            </w:r>
            <w:r>
              <w:t xml:space="preserve">checklist; not separately enumerated in customer points 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Points list shows DOAS-Casino + smoke-sanitizer; vault/count-room not addressed.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required: add ~30–60 additional points + door-status hardware. ±PHP 300–500K. → Q-010.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BOH kitchen exhaust monitor-only (run-status only); no Ansul/hood-fire-suppression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BMS-01 ventilation block lists kitchen TEFs as run-status.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required: add interlock relays + integration spec. ±PHP 200K. → Q-011.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schedule: 14-week construction + T&amp;C window (assumed comfortable for medium-tier scope)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customer schedule; medium-tier reference timeline.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Compressed to &lt;10 weeks: double-shift, after-hours premiums (+20% manhours). → Q-003.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 terms: PHP currency; warranty 12 months from substantial completion; payment 90% progressive / 10% retention released at warranty completion; no LD beyond 0.1%/day capped at 5%; tax inclusive (12% VAT)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Philippine market default; customer is silent.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Customer-imposed harsher terms shift contingency 1–3% of contract value. → Q-012.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Working hours: standard daytime construction (Mon–Sat 0700–1700); no after-hours or noise-restricted work expected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Greenfield site assumption.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Hotel-tower fit-out windows imposed (night/weekend): +15–25% labor premium. → Q-013.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Training: one round (8 hours, on-site) of operator training included; no extended O&amp;M contract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 letter silent on training/O&amp;M.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Extended O&amp;M (1–3 yr): add separate priced line item. → Q-014.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riser EE-24 Part 2 of 2 covers guestroom-tower distribution; metering scope confined to MV main + major mechanical/casino feeders + per-floor BOH lighting feeders (not per-guestroom-feeder metering)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Riser Part 1 visible; Part 2 not in bundle.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Per-guestroom-floor metering required: add ~10 power meters + ~2,000 m additional cable. ±PHP 600K. → Q-005.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 architecture: 1× supervisory server, 1× operator workstation, 1× HMI workstation, 1× engineering laptop; isolated BMS LAN with managed L2 switches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hotel BMS reference; A6 will refine.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 regulatory requirements may require redundant supervisor: ±PHP 800K. → Q-007.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jacket: FRLS (fire-retardant low-smoke) per Megaworld MC Standards + BFP IRR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Customer-kb note + standard practice.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Higher rating (FR-LSZH or FT-FT4): +10–20% cable cost.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Conduit/cable-tray supply: BMS contractor responsible for vertical conduit runs and BMS panel-room internal trunking; horizontal cable tray (main building) provided by ME contractor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scope-split per Philippine market.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BMS contractor must supply main tray: +PHP 1.5–3M.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Reasoned typical-range cable lengths populated in</w:t>
            </w:r>
            <w:r>
              <w:t xml:space="preserve"> </w:t>
            </w:r>
            <w:r>
              <w:rPr>
                <w:rStyle w:val="VerbatimChar"/>
              </w:rPr>
              <w:t xml:space="preserve">A3-route-lengths.yaml</w:t>
            </w:r>
            <w:r>
              <w:t xml:space="preserve"> </w:t>
            </w:r>
            <w:r>
              <w:t xml:space="preserve">(Phase 5a) per context: plant-room same-room ~12 m, inter-floor riser ~3.5 m per floor + 8 m per panel allowance, guestroom-corridor field cable ~35 m, casino-floor field cable ~28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Operating Principle #11; basis: Philippine hotel-BMS prior projects + cable industry typical-route guidance.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Variance ±20% per context affects A3 cable totals proportionally.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Conduit-to-cable ratio: 30% (used by</w:t>
            </w:r>
            <w:r>
              <w:t xml:space="preserve"> </w:t>
            </w:r>
            <w:r>
              <w:rPr>
                <w:rStyle w:val="VerbatimChar"/>
              </w:rPr>
              <w:t xml:space="preserve">generate-b4-installation-manhours.py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Helper default; flagged as known issue in ORCHESTRATOR.md.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retrofit (50–70%) or if dedicated vertical conduit is heavy: +/−15% on conduit cost.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Spare I/O capacity: 25% per AI/AO/DI/DO module sizing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generate-06-boq.py</w:t>
            </w:r>
            <w:r>
              <w:t xml:space="preserve"> </w:t>
            </w:r>
            <w:r>
              <w:t xml:space="preserve">default.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aggressive (10%): smaller controller count; less aggressive (40%): more. ±5% on hardware cost.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Trend logs: 100% of AI, 40% of DI, 70% of HLI logged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generate-b1-b3-programming-and-commissioning.py</w:t>
            </w:r>
            <w:r>
              <w:t xml:space="preserve"> </w:t>
            </w:r>
            <w:r>
              <w:t xml:space="preserve">default.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 regulatory trending requirements may push higher.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lengths: trunk panel-to-panel measured from EE-03/06/09/12; vertical risers measured from EE-24 (Part 1); plant-room same-room cables measured from zone tags; guestroom-corridor and casino-floor field cables fall back to reasoned typical ranges per A-019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Drawing-availability triage in Phase 3.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Phase-3 triage, the customer-facing language must disclose what was measured vs. what fell back.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Equipment counts: BOH/casino/roofdeck equipment quantities directly from BMS Points list (TUEC); guestroom-corridor FCU counts (if confirmed in scope per Q-001) at typical density of 1 FCU per guestroom + 2 FCU per typical floor corridor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Points list + typical hotel density.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±15% if guestroom layout differs materially.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 MVAC point count: per BMS-02 visible (DOAS ×2 + smoke sanitizers ×2 + AHU ×2 + cooling tower interface)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Points list (TUEC) BMS-02.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gaming-board adds further requirements: +30 points. → Q-010.</w:t>
            </w:r>
          </w:p>
        </w:tc>
      </w:tr>
    </w:tbl>
    <w:bookmarkStart w:id="20" w:name="notes"/>
    <w:p>
      <w:pPr>
        <w:pStyle w:val="Heading2"/>
      </w:pPr>
      <w:r>
        <w:t xml:space="preserve">Notes</w:t>
      </w:r>
    </w:p>
    <w:p>
      <w:pPr>
        <w:numPr>
          <w:ilvl w:val="0"/>
          <w:numId w:val="1001"/>
        </w:numPr>
        <w:pStyle w:val="Compact"/>
      </w:pPr>
      <w:r>
        <w:t xml:space="preserve">Living document. Phase 7 reviews and renumbers if needed.</w:t>
      </w:r>
    </w:p>
    <w:p>
      <w:pPr>
        <w:numPr>
          <w:ilvl w:val="0"/>
          <w:numId w:val="1001"/>
        </w:numPr>
        <w:pStyle w:val="Compact"/>
      </w:pPr>
      <w:r>
        <w:t xml:space="preserve">Each</w:t>
      </w:r>
      <w:r>
        <w:t xml:space="preserve"> </w:t>
      </w:r>
      <w:r>
        <w:rPr>
          <w:rStyle w:val="VerbatimChar"/>
        </w:rPr>
        <w:t xml:space="preserve">A-NNN</w:t>
      </w:r>
      <w:r>
        <w:t xml:space="preserve"> </w:t>
      </w:r>
      <w:r>
        <w:t xml:space="preserve">should resolve to either a confirmed customer answer (close out the row) or remain as a flagged assumption in the proposal narrative.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2026-04-28T01:58:29Z</dcterms:created>
  <dcterms:modified xsi:type="dcterms:W3CDTF">2026-04-28T01:58:29Z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