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customer-clarifications-rfi-list-living"/>
    <w:p>
      <w:pPr>
        <w:pStyle w:val="Heading1"/>
      </w:pPr>
      <w:r>
        <w:t xml:space="preserve">08 — Customer Clarifications (RFI list, living)</w:t>
      </w:r>
    </w:p>
    <w:p>
      <w:pPr>
        <w:pStyle w:val="FirstParagraph"/>
      </w:pPr>
      <w:r>
        <w:rPr>
          <w:bCs/>
          <w:b/>
        </w:rPr>
        <w:t xml:space="preserve">Project:</w:t>
      </w:r>
      <w:r>
        <w:t xml:space="preserve"> </w:t>
      </w:r>
      <w:r>
        <w:t xml:space="preserve">Kingsford Hotel Bacolod — BMS</w:t>
      </w:r>
      <w:r>
        <w:t xml:space="preserve"> </w:t>
      </w:r>
      <w:r>
        <w:rPr>
          <w:bCs/>
          <w:b/>
        </w:rPr>
        <w:t xml:space="preserve">Last updated:</w:t>
      </w:r>
      <w:r>
        <w:t xml:space="preserve"> </w:t>
      </w:r>
      <w:r>
        <w:t xml:space="preserve">2026-04-28</w:t>
      </w:r>
    </w:p>
    <w:p>
      <w:pPr>
        <w:pStyle w:val="BodyText"/>
      </w:pPr>
      <w:r>
        <w:t xml:space="preserve">Items only the customer can answer. Phase 8 consolidates and prioritizes; phases prior write entries as they are surfaced.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26"/>
        <w:gridCol w:w="816"/>
        <w:gridCol w:w="816"/>
        <w:gridCol w:w="1306"/>
        <w:gridCol w:w="1632"/>
        <w:gridCol w:w="302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Why we need 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Linked assumption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if customer’s answer differs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whether per-guestroom HVAC controls (FCU thermostats, occupancy sensors, PMS-driven setbacks) are in BMS contractor scope or excluded (handled under fit-out / separate trade).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Project-specific BMS Points list shows no guestroom FCU points. Affects BOQ by PHP 8M–15M.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in scope: add ~2,000–4,000 points + per-room FCU controllers + thermostats + PMS gateway.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the latest mechanical (HVAC) layout drawings — chiller plant, AHU/DOAS room layouts, FCU/exhaust locations per floor.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equipment-placement assumptions, cable runs, panel-to-equipment cabling.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Materially refines A3 cable schedule.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required completion date / project schedule.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mobilization, manpower-loading, T&amp;C window, possible after-hours premiums.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&lt;10 wk: +20% labor (double shift).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architectural floor plans (all floors).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accurate cable route lengths and equipment placement.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Reduces typical-range fallback share; tightens BOQ.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EE-24 Power Riser Diagram Part 2 of 2.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Confirms guestroom-tower distribution and metering scope.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Per-floor guestroom-feeder metering may be required (+~10 meters, +~2,000 m cable).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plumbing/sanitary layouts.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Confirms calorifier, heat-pump, recirc-pump locations.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Refines plant-room cable lengths.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BMS network topology and head-end location: isolated BMS LAN with single uplink to customer LAN; server-room placement adjacent to MV/LV. Confirm count of operator workstations and HMI clients.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A5/A6 head-end + network architecture.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A-006, A-016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Casino regulatory may require redundant supervisor (+PHP 800K); full IP-to-field adds licensing.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approved brand list for: BMS controllers/DDC, supervisory/head-end, room sensors, valves, BTU meters, power meters, switches, UPS, VFDs. (Megaworld MC Standards DRC-004-2024 referenced.)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Brand-locking affects pricing ±5–15%.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Re-quote at customer-approved equivalents.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whether hotel PMS integration (per-room occupancy → HVAC setbacks) is required.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required, gateway + custom point mapping needed.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yes: +PHP 800K base; could be priced as optional add-on.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casino-zone special points: vault-door status, count-room HVAC isolation, smoking-zone exhaust strategy, gaming-floor IAQ regulator references (PAGCOR / local gaming-board minimums).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Casino-specific points beyond what’s in BMS-02.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A-009, A-025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 ~30–60 points + door hardware.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BOH kitchen exhaust / Ansul / hood-fire-suppression interlock scope.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Determines whether BMS-side wiring of fire interlock relays is required.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required: +PHP 200K; coordination with kitchen FS contractor.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commercial terms: warranty period, payment milestones, retention %, LD %, tax handling, currency.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Commercial-contingency calibration.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Harsher terms: +1–3% contingency.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working-hours / site-access constraints (after-hours, noise restrictions, weekend work).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Labor premium calibration.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After-hours mandate: +15–25% labor.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training and O&amp;M scope: number of training rounds, attendees per session, O&amp;M contract term beyond 12-month warranty.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Discrete priced line items.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Extended O&amp;M priced separately.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Cover letter says</w:t>
            </w:r>
            <w:r>
              <w:t xml:space="preserve"> </w:t>
            </w:r>
            <w:r>
              <w:t xml:space="preserve">“</w:t>
            </w:r>
            <w:r>
              <w:t xml:space="preserve">Rehabilitation</w:t>
            </w:r>
            <w:r>
              <w:t xml:space="preserve">”</w:t>
            </w:r>
            <w:r>
              <w:t xml:space="preserve"> </w:t>
            </w:r>
            <w:r>
              <w:t xml:space="preserve">but Construction Bulletins are dated 2025 with</w:t>
            </w:r>
            <w:r>
              <w:t xml:space="preserve"> </w:t>
            </w:r>
            <w:r>
              <w:t xml:space="preserve">“</w:t>
            </w:r>
            <w:r>
              <w:t xml:space="preserve">For Construction</w:t>
            </w:r>
            <w:r>
              <w:t xml:space="preserve">”</w:t>
            </w:r>
            <w:r>
              <w:t xml:space="preserve"> </w:t>
            </w:r>
            <w:r>
              <w:t xml:space="preserve">status and no existing-system inventory was provided. Please confirm: greenfield (new construction) or rehabilitation?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Highest-leverage classification axis; ±25–30% cost.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actually rehab: rework with demolition + cutover + reuse evaluation.</w:t>
            </w:r>
          </w:p>
        </w:tc>
      </w:tr>
    </w:tbl>
    <w:bookmarkStart w:id="20" w:name="priority-handling"/>
    <w:p>
      <w:pPr>
        <w:pStyle w:val="Heading2"/>
      </w:pPr>
      <w:r>
        <w:t xml:space="preserve">Priority handling</w:t>
      </w:r>
    </w:p>
    <w:p>
      <w:pPr>
        <w:pStyle w:val="FirstParagraph"/>
      </w:pPr>
      <w:r>
        <w:t xml:space="preserve">Address</w:t>
      </w:r>
      <w:r>
        <w:t xml:space="preserve"> </w:t>
      </w:r>
      <w:r>
        <w:rPr>
          <w:bCs/>
          <w:b/>
        </w:rPr>
        <w:t xml:space="preserve">High</w:t>
      </w:r>
      <w:r>
        <w:t xml:space="preserve"> </w:t>
      </w:r>
      <w:r>
        <w:t xml:space="preserve">priority Q-NNNs in parallel with proposal submission.</w:t>
      </w:r>
      <w:r>
        <w:t xml:space="preserve"> </w:t>
      </w:r>
      <w:r>
        <w:rPr>
          <w:bCs/>
          <w:b/>
        </w:rPr>
        <w:t xml:space="preserve">Medium</w:t>
      </w:r>
      <w:r>
        <w:t xml:space="preserve"> </w:t>
      </w:r>
      <w:r>
        <w:t xml:space="preserve">can be answered during proposal review.</w:t>
      </w:r>
      <w:r>
        <w:t xml:space="preserve"> </w:t>
      </w:r>
      <w:r>
        <w:rPr>
          <w:bCs/>
          <w:b/>
        </w:rPr>
        <w:t xml:space="preserve">Low</w:t>
      </w:r>
      <w:r>
        <w:t xml:space="preserve"> </w:t>
      </w:r>
      <w:r>
        <w:t xml:space="preserve">may be carried into post-award engineering.</w:t>
      </w:r>
    </w:p>
    <w:bookmarkEnd w:id="20"/>
    <w:bookmarkStart w:id="21" w:name="status"/>
    <w:p>
      <w:pPr>
        <w:pStyle w:val="Heading2"/>
      </w:pPr>
      <w:r>
        <w:t xml:space="preserve">Status</w:t>
      </w:r>
    </w:p>
    <w:p>
      <w:pPr>
        <w:pStyle w:val="FirstParagraph"/>
      </w:pPr>
      <w:r>
        <w:t xml:space="preserve">All 15 RFIs</w:t>
      </w:r>
      <w:r>
        <w:t xml:space="preserve"> </w:t>
      </w:r>
      <w:r>
        <w:rPr>
          <w:bCs/>
          <w:b/>
        </w:rPr>
        <w:t xml:space="preserve">OPEN</w:t>
      </w:r>
      <w:r>
        <w:t xml:space="preserve"> </w:t>
      </w:r>
      <w:r>
        <w:t xml:space="preserve">at proposal submission.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2026-04-28T01:58:29Z</dcterms:created>
  <dcterms:modified xsi:type="dcterms:W3CDTF">2026-04-28T01:58:29Z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