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33" w:name="Xb10786e19a29c44a94c616468bc39b792f98a4c"/>
    <w:p>
      <w:pPr>
        <w:pStyle w:val="Heading1"/>
      </w:pPr>
      <w:r>
        <w:t xml:space="preserve">Internal Team Notes — 2026-04-kingsford-bms-AB4</w:t>
      </w:r>
    </w:p>
    <w:p>
      <w:pPr>
        <w:pStyle w:val="FirstParagraph"/>
      </w:pPr>
      <w:r>
        <w:rPr>
          <w:bCs/>
          <w:b/>
        </w:rPr>
        <w:t xml:space="preserve">Audience:</w:t>
      </w:r>
      <w:r>
        <w:t xml:space="preserve"> </w:t>
      </w:r>
      <w:r>
        <w:t xml:space="preserve">the proposal team running the next pass on this project.</w:t>
      </w:r>
    </w:p>
    <w:p>
      <w:pPr>
        <w:pStyle w:val="BodyText"/>
      </w:pPr>
      <w:r>
        <w:t xml:space="preserve">This document compiles actionable items pulled from the project’s working artifacts. Each section is</w:t>
      </w:r>
      <w:r>
        <w:t xml:space="preserve"> </w:t>
      </w:r>
      <w:r>
        <w:rPr>
          <w:iCs/>
          <w:i/>
        </w:rPr>
        <w:t xml:space="preserve">what to do next</w:t>
      </w:r>
      <w:r>
        <w:t xml:space="preserve"> </w:t>
      </w:r>
      <w:r>
        <w:t xml:space="preserve">— verify, refine, or reconsider — to improve the proposal before it goes to the customer or as part of an RFQ-response cycle.</w:t>
      </w:r>
    </w:p>
    <w:p>
      <w:pPr>
        <w:pStyle w:val="BodyText"/>
      </w:pPr>
      <w:r>
        <w:rPr>
          <w:bCs/>
          <w:b/>
        </w:rPr>
        <w:t xml:space="preserve">Sources compiled: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07-assumptions.md</w:t>
      </w:r>
      <w:r>
        <w:t xml:space="preserve"> </w:t>
      </w:r>
      <w:r>
        <w:t xml:space="preserve">— assumptions to verify or refine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08-customer-clarifications.md</w:t>
      </w:r>
      <w:r>
        <w:t xml:space="preserve"> </w:t>
      </w:r>
      <w:r>
        <w:t xml:space="preserve">— questions to send the customer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99-decision-log.md</w:t>
      </w:r>
      <w:r>
        <w:t xml:space="preserve"> </w:t>
      </w:r>
      <w:r>
        <w:t xml:space="preserve">— decisions worth revisiting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03-doc-inventory.md</w:t>
      </w:r>
      <w:r>
        <w:t xml:space="preserve"> </w:t>
      </w:r>
      <w:r>
        <w:t xml:space="preserve">— gap analysis on customer inputs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05-working-docs/A3-cable-schedule.yaml</w:t>
      </w:r>
      <w:r>
        <w:t xml:space="preserve"> </w:t>
      </w:r>
      <w:r>
        <w:t xml:space="preserve">— cable-length fallbacks to verify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05-working-docs/D3-risk-register.md</w:t>
      </w:r>
      <w:r>
        <w:t xml:space="preserve"> </w:t>
      </w:r>
      <w:r>
        <w:t xml:space="preserve">— project risks (if present)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09-rfq-package/</w:t>
      </w:r>
      <w:r>
        <w:t xml:space="preserve"> </w:t>
      </w:r>
      <w:r>
        <w:t xml:space="preserve">— RFQ packages (cost-reduction via competitive bidding)</w:t>
      </w:r>
    </w:p>
    <w:p>
      <w:r>
        <w:pict>
          <v:rect style="width:0;height:1.5pt" o:hralign="center" o:hrstd="t" o:hr="t"/>
        </w:pict>
      </w:r>
    </w:p>
    <w:bookmarkStart w:id="20" w:name="customer-clarifications-rfi-list"/>
    <w:p>
      <w:pPr>
        <w:pStyle w:val="Heading2"/>
      </w:pPr>
      <w:r>
        <w:t xml:space="preserve">1. Customer clarifications (RFI list)</w:t>
      </w:r>
    </w:p>
    <w:p>
      <w:pPr>
        <w:pStyle w:val="FirstParagraph"/>
      </w:pPr>
      <w:r>
        <w:rPr>
          <w:bCs/>
          <w:b/>
        </w:rPr>
        <w:t xml:space="preserve">0 open questions</w:t>
      </w:r>
      <w:r>
        <w:t xml:space="preserve"> </w:t>
      </w:r>
      <w:r>
        <w:t xml:space="preserve">to send the customer. Each has a documented default assumption with cost / scope impact. Resolving these is the highest-leverage path to refining the proposal — every answered Q-NNN may flip an open assumption from</w:t>
      </w:r>
      <w:r>
        <w:t xml:space="preserve"> </w:t>
      </w:r>
      <w:r>
        <w:rPr>
          <w:rStyle w:val="VerbatimChar"/>
        </w:rPr>
        <w:t xml:space="preserve">Assumed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Confirmed</w:t>
      </w:r>
      <w:r>
        <w:t xml:space="preserve"> </w:t>
      </w:r>
      <w:r>
        <w:t xml:space="preserve">and reduce contingency.</w:t>
      </w:r>
    </w:p>
    <w:bookmarkEnd w:id="20"/>
    <w:bookmarkStart w:id="23" w:name="Xad238642c325bf35045bbbbb8ab4d57c0f047c0"/>
    <w:p>
      <w:pPr>
        <w:pStyle w:val="Heading2"/>
      </w:pPr>
      <w:r>
        <w:t xml:space="preserve">2. Verification action items (against drawings, on site, with vendors)</w:t>
      </w:r>
    </w:p>
    <w:bookmarkStart w:id="21" w:name="cable-lengths-fallback-rows-to-verify"/>
    <w:p>
      <w:pPr>
        <w:pStyle w:val="Heading3"/>
      </w:pPr>
      <w:r>
        <w:t xml:space="preserve">Cable lengths — fallback rows to verify</w:t>
      </w:r>
    </w:p>
    <w:p>
      <w:pPr>
        <w:pStyle w:val="FirstParagraph"/>
      </w:pPr>
      <w:r>
        <w:t xml:space="preserve">Cables tagged</w:t>
      </w:r>
      <w:r>
        <w:t xml:space="preserve"> </w:t>
      </w:r>
      <w:r>
        <w:rPr>
          <w:rStyle w:val="VerbatimChar"/>
        </w:rPr>
        <w:t xml:space="preserve">legacy_fallback</w:t>
      </w:r>
      <w:r>
        <w:t xml:space="preserve">,</w:t>
      </w:r>
      <w:r>
        <w:t xml:space="preserve"> </w:t>
      </w:r>
      <w:r>
        <w:rPr>
          <w:rStyle w:val="VerbatimChar"/>
        </w:rPr>
        <w:t xml:space="preserve">typical_range:*</w:t>
      </w:r>
      <w:r>
        <w:t xml:space="preserve">, or</w:t>
      </w:r>
      <w:r>
        <w:t xml:space="preserve"> </w:t>
      </w:r>
      <w:r>
        <w:rPr>
          <w:rStyle w:val="VerbatimChar"/>
        </w:rPr>
        <w:t xml:space="preserve">fallback_a001</w:t>
      </w:r>
      <w:r>
        <w:t xml:space="preserve"> </w:t>
      </w:r>
      <w:r>
        <w:t xml:space="preserve">use agent-reasoned typical-range estimates rather than direct drawing measurements. These are the audit-XLSX rows the team should prioritize when the next set of drawings lands or when site walkthroughs become possible.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Method tag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Sample row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typical_range:boh_same_floor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typical_range:roofdeck_plant_area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typical_range:plant_room_same_room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typical_range:panel_power_feed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P0202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unknown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T0195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typical_range:guestroom_corridor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C0161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agent_specified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T0200</w:t>
            </w:r>
          </w:p>
        </w:tc>
      </w:tr>
    </w:tbl>
    <w:p>
      <w:pPr>
        <w:pStyle w:val="BodyText"/>
      </w:pPr>
      <w:r>
        <w:t xml:space="preserve">Open</w:t>
      </w:r>
      <w:r>
        <w:t xml:space="preserve"> </w:t>
      </w:r>
      <w:r>
        <w:rPr>
          <w:rStyle w:val="VerbatimChar"/>
        </w:rPr>
        <w:t xml:space="preserve">13-A3-cable-schedule-AUDIT.xlsx</w:t>
      </w:r>
      <w:r>
        <w:t xml:space="preserve"> </w:t>
      </w:r>
      <w:r>
        <w:t xml:space="preserve">to filter and prioritize.</w:t>
      </w:r>
    </w:p>
    <w:bookmarkEnd w:id="21"/>
    <w:bookmarkStart w:id="22" w:name="other-verification-items"/>
    <w:p>
      <w:pPr>
        <w:pStyle w:val="Heading3"/>
      </w:pPr>
      <w:r>
        <w:t xml:space="preserve">Other verification items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Equipment counts</w:t>
      </w:r>
      <w:r>
        <w:t xml:space="preserve"> </w:t>
      </w:r>
      <w:r>
        <w:t xml:space="preserve">— verify against mechanical floor plans where the agent inferred quantities (see open assumptions where</w:t>
      </w:r>
      <w:r>
        <w:t xml:space="preserve"> </w:t>
      </w:r>
      <w:r>
        <w:rPr>
          <w:rStyle w:val="VerbatimChar"/>
        </w:rPr>
        <w:t xml:space="preserve">Status: Open</w:t>
      </w:r>
      <w:r>
        <w:t xml:space="preserve"> </w:t>
      </w:r>
      <w:r>
        <w:t xml:space="preserve">and category contains</w:t>
      </w:r>
      <w:r>
        <w:t xml:space="preserve"> </w:t>
      </w:r>
      <w:r>
        <w:t xml:space="preserve">‘</w:t>
      </w:r>
      <w:r>
        <w:t xml:space="preserve">count</w:t>
      </w:r>
      <w:r>
        <w:t xml:space="preserve">’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Panel locations</w:t>
      </w:r>
      <w:r>
        <w:t xml:space="preserve"> </w:t>
      </w:r>
      <w:r>
        <w:t xml:space="preserve">— confirm against architectural drawings and walk the building if accessible.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Drawing scale calibrations</w:t>
      </w:r>
      <w:r>
        <w:t xml:space="preserve"> </w:t>
      </w:r>
      <w:r>
        <w:t xml:space="preserve">— if any A-NNN entries record drawing-scale calibration assumptions (e.g., grid-bay calibration), spot-check against a second known dimension before the proposal goes out.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Vendor specifications</w:t>
      </w:r>
      <w:r>
        <w:t xml:space="preserve"> </w:t>
      </w:r>
      <w:r>
        <w:t xml:space="preserve">— for every Equipment Supplier C/O cable / interface, confirm that the supplier’s panel architecture matches the assumed BMS-side interface (HLI vs. hardwired DI/DO).</w:t>
      </w:r>
    </w:p>
    <w:bookmarkEnd w:id="22"/>
    <w:bookmarkEnd w:id="23"/>
    <w:bookmarkStart w:id="26" w:name="cost-reduction-opportunities"/>
    <w:p>
      <w:pPr>
        <w:pStyle w:val="Heading2"/>
      </w:pPr>
      <w:r>
        <w:t xml:space="preserve">3. Cost-reduction opportunities</w:t>
      </w:r>
    </w:p>
    <w:bookmarkStart w:id="24" w:name="rfq-packages-competitive-bidding"/>
    <w:p>
      <w:pPr>
        <w:pStyle w:val="Heading3"/>
      </w:pPr>
      <w:r>
        <w:t xml:space="preserve">RFQ packages — competitive bidding</w:t>
      </w:r>
    </w:p>
    <w:p>
      <w:pPr>
        <w:pStyle w:val="FirstParagraph"/>
      </w:pPr>
      <w:r>
        <w:t xml:space="preserve">The agent prepared 12 RFQ packages categorized by supplier type. Issuing all of them and comparing 3+ quotes per package is the standard cost-reduction lever. Especially impactful for high-value categories: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bms-controllers-and-panels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field-sensors-hvac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head-end-servers-workstations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network-active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power-meters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valves-actuators</w:t>
      </w:r>
      <w:r>
        <w:t xml:space="preserve"> </w:t>
      </w:r>
      <w:r>
        <w:t xml:space="preserve">— typically 5–15% savings vs. catalog pricing on competitive bid</w:t>
      </w:r>
    </w:p>
    <w:p>
      <w:pPr>
        <w:pStyle w:val="FirstParagraph"/>
      </w:pPr>
      <w:r>
        <w:t xml:space="preserve">Full list in</w:t>
      </w:r>
      <w:r>
        <w:t xml:space="preserve"> </w:t>
      </w:r>
      <w:r>
        <w:rPr>
          <w:rStyle w:val="VerbatimChar"/>
        </w:rPr>
        <w:t xml:space="preserve">09-rfq-package/</w:t>
      </w:r>
      <w:r>
        <w:t xml:space="preserve">. Send these as soon as the proposal’s commercial side is firm — supplier turnaround is typically 2–4 weeks.</w:t>
      </w:r>
    </w:p>
    <w:bookmarkEnd w:id="24"/>
    <w:bookmarkStart w:id="25" w:name="other-cost-levers"/>
    <w:p>
      <w:pPr>
        <w:pStyle w:val="Heading3"/>
      </w:pPr>
      <w:r>
        <w:t xml:space="preserve">Other cost levers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Cable specifications</w:t>
      </w:r>
      <w:r>
        <w:t xml:space="preserve"> </w:t>
      </w:r>
      <w:r>
        <w:t xml:space="preserve">— confirm with the customer whether the assumed jacket rating (e.g., FRLS) is mandated or whether a less-specified cable is acceptable in non-occupied spaces. Material cost difference can be 10–20% on cabling.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Spare-conductor strategy</w:t>
      </w:r>
      <w:r>
        <w:t xml:space="preserve"> </w:t>
      </w:r>
      <w:r>
        <w:t xml:space="preserve">— current strategy provides 15–25% spares per I/O class. If the customer is willing to accept lower spare margins (commit to the I/O list as-final), cable size drops and material cost reduces 5–10%.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Make/model consolidation</w:t>
      </w:r>
      <w:r>
        <w:t xml:space="preserve"> </w:t>
      </w:r>
      <w:r>
        <w:t xml:space="preserve">— RFQ packages currently call for spec-level equivalent items. If the customer accepts a single-vendor list (one controller brand, one valve brand), the team can negotiate volume discounts. Document any such consolidation in a new Q-NNN.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Owner-furnished items</w:t>
      </w:r>
      <w:r>
        <w:t xml:space="preserve"> </w:t>
      </w:r>
      <w:r>
        <w:t xml:space="preserve">— review C1 contractor/owner matrix; items currently assigned to BMS scope that the owner could supply directly (e.g., off-the-shelf workstations, network switches if customer has IT preferences) reduce BMS material markup.</w:t>
      </w:r>
    </w:p>
    <w:bookmarkEnd w:id="25"/>
    <w:bookmarkEnd w:id="26"/>
    <w:bookmarkStart w:id="29" w:name="risks-and-decisions-to-revisit"/>
    <w:p>
      <w:pPr>
        <w:pStyle w:val="Heading2"/>
      </w:pPr>
      <w:r>
        <w:t xml:space="preserve">4. Risks and decisions to revisit</w:t>
      </w:r>
    </w:p>
    <w:bookmarkStart w:id="27" w:name="risk-register-highlights"/>
    <w:p>
      <w:pPr>
        <w:pStyle w:val="Heading3"/>
      </w:pPr>
      <w:r>
        <w:t xml:space="preserve">Risk register highlights</w:t>
      </w:r>
    </w:p>
    <w:p>
      <w:pPr>
        <w:pStyle w:val="FirstParagraph"/>
      </w:pPr>
      <w:r>
        <w:t xml:space="preserve">Open risks from</w:t>
      </w:r>
      <w:r>
        <w:t xml:space="preserve"> </w:t>
      </w:r>
      <w:r>
        <w:rPr>
          <w:rStyle w:val="VerbatimChar"/>
        </w:rPr>
        <w:t xml:space="preserve">D3-risk-register.md</w:t>
      </w:r>
      <w:r>
        <w:t xml:space="preserve"> </w:t>
      </w:r>
      <w:r>
        <w:t xml:space="preserve">worth re-evaluating before issue: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R-01</w:t>
      </w:r>
      <w:r>
        <w:t xml:space="preserve"> </w:t>
      </w:r>
      <w:r>
        <w:t xml:space="preserve">— Stage misclassification (rehab vs. greenfield) | Low | High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R-02</w:t>
      </w:r>
      <w:r>
        <w:t xml:space="preserve"> </w:t>
      </w:r>
      <w:r>
        <w:t xml:space="preserve">— Plumbing scope expands beyond hot water | Medium | Medium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R-03</w:t>
      </w:r>
      <w:r>
        <w:t xml:space="preserve"> </w:t>
      </w:r>
      <w:r>
        <w:t xml:space="preserve">— Guestroom FCU controls in BMS scope (~280 rooms) | Medium | High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R-04</w:t>
      </w:r>
      <w:r>
        <w:t xml:space="preserve"> </w:t>
      </w:r>
      <w:r>
        <w:t xml:space="preserve">— Project schedule pressure (compressed timeline) | Medium | Medium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R-05</w:t>
      </w:r>
      <w:r>
        <w:t xml:space="preserve"> </w:t>
      </w:r>
      <w:r>
        <w:t xml:space="preserve">— Architectural drawings late (cable measurement bounded) | High | Medium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R-06</w:t>
      </w:r>
      <w:r>
        <w:t xml:space="preserve"> </w:t>
      </w:r>
      <w:r>
        <w:t xml:space="preserve">— Brand substitution (customer rejects Siemens) | Low | Medium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R-07</w:t>
      </w:r>
      <w:r>
        <w:t xml:space="preserve"> </w:t>
      </w:r>
      <w:r>
        <w:t xml:space="preserve">— After-hours work mandated (~25% premium) | Low | Medium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R-08</w:t>
      </w:r>
      <w:r>
        <w:t xml:space="preserve"> </w:t>
      </w:r>
      <w:r>
        <w:t xml:space="preserve">— EE drawing set incomplete (full EE-01..24 missing) | Medium | Low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R-09</w:t>
      </w:r>
      <w:r>
        <w:t xml:space="preserve"> </w:t>
      </w:r>
      <w:r>
        <w:t xml:space="preserve">— Casino IAQ regulator demands more sensors | Medium | Low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R-10</w:t>
      </w:r>
      <w:r>
        <w:t xml:space="preserve"> </w:t>
      </w:r>
      <w:r>
        <w:t xml:space="preserve">— Hot-cutover required (treats as rehab) | Low | High</w:t>
      </w:r>
    </w:p>
    <w:bookmarkEnd w:id="27"/>
    <w:bookmarkStart w:id="28" w:name="recent-decisions-worth-revisiting"/>
    <w:p>
      <w:pPr>
        <w:pStyle w:val="Heading3"/>
      </w:pPr>
      <w:r>
        <w:t xml:space="preserve">Recent decisions worth revisiting</w:t>
      </w:r>
    </w:p>
    <w:p>
      <w:pPr>
        <w:pStyle w:val="FirstParagraph"/>
      </w:pPr>
      <w:r>
        <w:t xml:space="preserve">Decisions made during proposal generation. Review whether each is still right given any new customer answers or drawings received since the decision was made.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D-001</w:t>
      </w:r>
      <w:r>
        <w:t xml:space="preserve"> </w:t>
      </w:r>
      <w:r>
        <w:t xml:space="preserve">— Specialized subagents not installed; fallback to general-purpose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D-002</w:t>
      </w:r>
      <w:r>
        <w:t xml:space="preserve"> </w:t>
      </w:r>
      <w:r>
        <w:t xml:space="preserve">— Stage classification: Greenfield, despite</w:t>
      </w:r>
      <w:r>
        <w:t xml:space="preserve"> </w:t>
      </w:r>
      <w:r>
        <w:t xml:space="preserve">“</w:t>
      </w:r>
      <w:r>
        <w:t xml:space="preserve">Rehabilitation</w:t>
      </w:r>
      <w:r>
        <w:t xml:space="preserve">”</w:t>
      </w:r>
      <w:r>
        <w:t xml:space="preserve"> </w:t>
      </w:r>
      <w:r>
        <w:t xml:space="preserve">cover-letter wording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D-003</w:t>
      </w:r>
      <w:r>
        <w:t xml:space="preserve"> </w:t>
      </w:r>
      <w:r>
        <w:t xml:space="preserve">— Customer-KB Megaworld brand list is STUB</w:t>
      </w:r>
    </w:p>
    <w:bookmarkEnd w:id="28"/>
    <w:bookmarkEnd w:id="29"/>
    <w:bookmarkStart w:id="30" w:name="open-assumptions-to-refine"/>
    <w:p>
      <w:pPr>
        <w:pStyle w:val="Heading2"/>
      </w:pPr>
      <w:r>
        <w:t xml:space="preserve">5. Open assumptions to refine</w:t>
      </w:r>
    </w:p>
    <w:p>
      <w:pPr>
        <w:pStyle w:val="FirstParagraph"/>
      </w:pPr>
      <w:r>
        <w:rPr>
          <w:bCs/>
          <w:b/>
        </w:rPr>
        <w:t xml:space="preserve">0 assumptions in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Open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status</w:t>
      </w:r>
      <w:r>
        <w:t xml:space="preserve"> </w:t>
      </w:r>
      <w:r>
        <w:t xml:space="preserve">(out of 0 total). Each one is something the proposal currently treats as a known quantity but isn’t actually confirmed. The team should pair each open assumption with the corresponding Q-NNN and chase the customer’s answer.</w:t>
      </w:r>
    </w:p>
    <w:bookmarkEnd w:id="30"/>
    <w:bookmarkStart w:id="31" w:name="process-improvements-queued"/>
    <w:p>
      <w:pPr>
        <w:pStyle w:val="Heading2"/>
      </w:pPr>
      <w:r>
        <w:t xml:space="preserve">6. Process improvements queued</w:t>
      </w:r>
    </w:p>
    <w:p>
      <w:pPr>
        <w:pStyle w:val="FirstParagraph"/>
      </w:pPr>
      <w:r>
        <w:t xml:space="preserve">Items the methodology audit and A/B regression runs flagged for the next playbook pass. These don’t block this proposal but will improve the next one: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Conduit ratio</w:t>
      </w:r>
      <w:r>
        <w:t xml:space="preserve"> </w:t>
      </w:r>
      <w:r>
        <w:t xml:space="preserve">— currently 30% of total cable length unless overridden. Project-tuned override available via</w:t>
      </w:r>
      <w:r>
        <w:t xml:space="preserve"> </w:t>
      </w:r>
      <w:r>
        <w:rPr>
          <w:rStyle w:val="VerbatimChar"/>
        </w:rPr>
        <w:t xml:space="preserve">B4-site-factors.yaml</w:t>
      </w:r>
      <w:r>
        <w:t xml:space="preserve"> </w:t>
      </w:r>
      <w:r>
        <w:t xml:space="preserve">(see Op#11).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Commercial rates</w:t>
      </w:r>
      <w:r>
        <w:t xml:space="preserve"> </w:t>
      </w:r>
      <w:r>
        <w:t xml:space="preserve">— overhead 20% / contingency 7.5% / VAT 12% are defaults. Project-tuned override via</w:t>
      </w:r>
      <w:r>
        <w:t xml:space="preserve"> </w:t>
      </w:r>
      <w:r>
        <w:rPr>
          <w:rStyle w:val="VerbatimChar"/>
        </w:rPr>
        <w:t xml:space="preserve">06-commercial-rates.yaml</w:t>
      </w:r>
      <w:r>
        <w:t xml:space="preserve"> </w:t>
      </w:r>
      <w:r>
        <w:t xml:space="preserve">based on risk-register score.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Cable specs</w:t>
      </w:r>
      <w:r>
        <w:t xml:space="preserve"> </w:t>
      </w:r>
      <w:r>
        <w:t xml:space="preserve">— currently project-blind. Consider authoring</w:t>
      </w:r>
      <w:r>
        <w:t xml:space="preserve"> </w:t>
      </w:r>
      <w:r>
        <w:rPr>
          <w:rStyle w:val="VerbatimChar"/>
        </w:rPr>
        <w:t xml:space="preserve">A3-cable-spec-rules.yaml</w:t>
      </w:r>
      <w:r>
        <w:t xml:space="preserve"> </w:t>
      </w:r>
      <w:r>
        <w:t xml:space="preserve">per</w:t>
      </w:r>
      <w:r>
        <w:t xml:space="preserve"> </w:t>
      </w:r>
      <w:r>
        <w:rPr>
          <w:rStyle w:val="VerbatimChar"/>
        </w:rPr>
        <w:t xml:space="preserve">_playbook/sub-routines/build-cable-schedule.md</w:t>
      </w:r>
      <w:r>
        <w:t xml:space="preserve"> </w:t>
      </w:r>
      <w:r>
        <w:t xml:space="preserve">for explicit jurisdiction / brand reasoning.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MS/TP trunk topology</w:t>
      </w:r>
      <w:r>
        <w:t xml:space="preserve"> </w:t>
      </w:r>
      <w:r>
        <w:t xml:space="preserve">— formula-based fallback; ideally derived from actual A4 panel locations.</w:t>
      </w:r>
    </w:p>
    <w:bookmarkEnd w:id="31"/>
    <w:bookmarkStart w:id="32" w:name="defensibility-check-whats-already-strong"/>
    <w:p>
      <w:pPr>
        <w:pStyle w:val="Heading2"/>
      </w:pPr>
      <w:r>
        <w:t xml:space="preserve">7. Defensibility check — what’s already strong</w:t>
      </w:r>
    </w:p>
    <w:p>
      <w:pPr>
        <w:pStyle w:val="FirstParagraph"/>
      </w:pPr>
      <w:r>
        <w:t xml:space="preserve">Reassurance for the team — items the agent already handled to a defensible standard:</w:t>
      </w:r>
    </w:p>
    <w:p>
      <w:pPr>
        <w:numPr>
          <w:ilvl w:val="0"/>
          <w:numId w:val="1008"/>
        </w:numPr>
        <w:pStyle w:val="Compact"/>
      </w:pPr>
      <w:r>
        <w:t xml:space="preserve">Every BOQ line traces to a working doc; every working doc cites sources</w:t>
      </w:r>
    </w:p>
    <w:p>
      <w:pPr>
        <w:numPr>
          <w:ilvl w:val="0"/>
          <w:numId w:val="1008"/>
        </w:numPr>
        <w:pStyle w:val="Compact"/>
      </w:pPr>
      <w:r>
        <w:t xml:space="preserve">Drawing-availability triage committed in writing in 03-doc-inventory.md (per Op#10)</w:t>
      </w:r>
    </w:p>
    <w:p>
      <w:pPr>
        <w:numPr>
          <w:ilvl w:val="0"/>
          <w:numId w:val="1008"/>
        </w:numPr>
        <w:pStyle w:val="Compact"/>
      </w:pPr>
      <w:r>
        <w:t xml:space="preserve">All assumptions are documented with rationale + impact-if-wrong</w:t>
      </w:r>
    </w:p>
    <w:p>
      <w:pPr>
        <w:numPr>
          <w:ilvl w:val="0"/>
          <w:numId w:val="1008"/>
        </w:numPr>
        <w:pStyle w:val="Compact"/>
      </w:pPr>
      <w:r>
        <w:t xml:space="preserve">13-file deliverables package ready for issue with no missing artifacts</w:t>
      </w:r>
    </w:p>
    <w:p>
      <w:pPr>
        <w:numPr>
          <w:ilvl w:val="0"/>
          <w:numId w:val="1008"/>
        </w:numPr>
        <w:pStyle w:val="Compact"/>
      </w:pPr>
      <w:r>
        <w:t xml:space="preserve">Audit XLSX layer (per Principle F) makes verification work tractable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Generated by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_playbook/tools/generate-internal-notes.py</w:t>
      </w:r>
      <w:r>
        <w:rPr>
          <w:iCs/>
          <w:i/>
        </w:rPr>
        <w:t xml:space="preserve">. Re-run after any update to the project’s working docs to refresh.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2026-04-28T00:00:28Z</dcterms:created>
  <dcterms:modified xsi:type="dcterms:W3CDTF">2026-04-28T00:00:28Z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