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55" w:name="assumption-ledger-living"/>
    <w:p>
      <w:pPr>
        <w:pStyle w:val="Heading1"/>
      </w:pPr>
      <w:r>
        <w:t xml:space="preserve">07 — Assumption Ledger (living)</w:t>
      </w:r>
    </w:p>
    <w:p>
      <w:pPr>
        <w:pStyle w:val="FirstParagraph"/>
      </w:pPr>
      <w:r>
        <w:rPr>
          <w:bCs/>
          <w:b/>
        </w:rPr>
        <w:t xml:space="preserve">Project:</w:t>
      </w:r>
      <w:r>
        <w:t xml:space="preserve"> </w:t>
      </w:r>
      <w:r>
        <w:t xml:space="preserve">Kingsford Hotel Bacolod — BMS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2026-04-28</w:t>
      </w:r>
    </w:p>
    <w:p>
      <w:pPr>
        <w:pStyle w:val="BodyText"/>
      </w:pPr>
      <w:r>
        <w:t xml:space="preserve">This file is the canonical record of every assumption applied during proposal generation. Each assumption has an ID, scope, value, basis, source (where applicable), and impact-if-wrong. Phase 7 consolidates these and authors the customer-facing summary.</w:t>
      </w:r>
    </w:p>
    <w:bookmarkStart w:id="20" w:name="X676b3d61112f25baef4c6fb9054767da7dd2ef7"/>
    <w:p>
      <w:pPr>
        <w:pStyle w:val="Heading2"/>
      </w:pPr>
      <w:r>
        <w:t xml:space="preserve">A-001 — Project stage is Greenfield (despite cover-letter</w:t>
      </w:r>
      <w:r>
        <w:t xml:space="preserve"> </w:t>
      </w:r>
      <w:r>
        <w:t xml:space="preserve">“</w:t>
      </w:r>
      <w:r>
        <w:t xml:space="preserve">Rehabilitation</w:t>
      </w:r>
      <w:r>
        <w:t xml:space="preserve">”</w:t>
      </w:r>
      <w:r>
        <w:t xml:space="preserve"> </w:t>
      </w:r>
      <w:r>
        <w:t xml:space="preserve">wording)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Basis:</w:t>
      </w:r>
      <w:r>
        <w:t xml:space="preserve"> </w:t>
      </w:r>
      <w:r>
        <w:t xml:space="preserve">Construction Bulletin Oct/Nov 2025 stamps on TUEC + MAAP drawings; absence of existing-system inventory; cover-letter triangulation rule per</w:t>
      </w:r>
      <w:r>
        <w:t xml:space="preserve"> </w:t>
      </w:r>
      <w:r>
        <w:rPr>
          <w:rStyle w:val="VerbatimChar"/>
        </w:rPr>
        <w:t xml:space="preserve">_playbook/phases/02-classify.md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Impact-if-wrong:</w:t>
      </w:r>
      <w:r>
        <w:t xml:space="preserve"> </w:t>
      </w:r>
      <w:r>
        <w:t xml:space="preserve">±30% on proposal — rehab adds demolition, after-hours premiums, cable-reuse evaluation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 RFI:</w:t>
      </w:r>
      <w:r>
        <w:t xml:space="preserve"> </w:t>
      </w:r>
      <w:r>
        <w:t xml:space="preserve">Q-001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 decision:</w:t>
      </w:r>
      <w:r>
        <w:t xml:space="preserve"> </w:t>
      </w:r>
      <w:r>
        <w:t xml:space="preserve">D-002</w:t>
      </w:r>
    </w:p>
    <w:bookmarkEnd w:id="20"/>
    <w:bookmarkStart w:id="21" w:name="X7b51f15b0973208c1a4a6218985621f78b7362c"/>
    <w:p>
      <w:pPr>
        <w:pStyle w:val="Heading2"/>
      </w:pPr>
      <w:r>
        <w:t xml:space="preserve">A-002 — Brand selection: Siemens for BMS, Dell for PCs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Basis:</w:t>
      </w:r>
      <w:r>
        <w:t xml:space="preserve"> </w:t>
      </w:r>
      <w:r>
        <w:t xml:space="preserve">Internal preferred brands per</w:t>
      </w:r>
      <w:r>
        <w:t xml:space="preserve"> </w:t>
      </w:r>
      <w:r>
        <w:rPr>
          <w:rStyle w:val="VerbatimChar"/>
        </w:rPr>
        <w:t xml:space="preserve">_playbook/checklists/preferred-brands.md</w:t>
      </w:r>
      <w:r>
        <w:t xml:space="preserve">; Megaworld customer-kb approved-brands.md is STUB (D-003)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Impact-if-wrong:</w:t>
      </w:r>
      <w:r>
        <w:t xml:space="preserve"> </w:t>
      </w:r>
      <w:r>
        <w:t xml:space="preserve">Net-zero effect on scope, but BOQ line descriptions reference these brands; Megaworld may substitute at shop-drawing review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Linked RFI:</w:t>
      </w:r>
      <w:r>
        <w:t xml:space="preserve"> </w:t>
      </w:r>
      <w:r>
        <w:t xml:space="preserve">Q-012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Linked decision:</w:t>
      </w:r>
      <w:r>
        <w:t xml:space="preserve"> </w:t>
      </w:r>
      <w:r>
        <w:t xml:space="preserve">D-003</w:t>
      </w:r>
    </w:p>
    <w:bookmarkEnd w:id="21"/>
    <w:bookmarkStart w:id="22" w:name="Xd312d7129103b1ba94322d039a21366813e8944"/>
    <w:p>
      <w:pPr>
        <w:pStyle w:val="Heading2"/>
      </w:pPr>
      <w:r>
        <w:t xml:space="preserve">A-003 — Project schedule assumed 16 weeks (Engineering 4w + Supply 4w + Installation 6w + T&amp;C 2w + Handover concurrent)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Basis:</w:t>
      </w:r>
      <w:r>
        <w:t xml:space="preserve"> </w:t>
      </w:r>
      <w:r>
        <w:t xml:space="preserve">Typical for a 600-point hospitality+casino BMS in Megaworld portfolio; medium-large tier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Impact-if-wrong:</w:t>
      </w:r>
      <w:r>
        <w:t xml:space="preserve"> </w:t>
      </w:r>
      <w:r>
        <w:t xml:space="preserve">Crash schedule adds night-shift premiums + duplicate teams; longer schedule reduces peak manpower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Linked RFI:</w:t>
      </w:r>
      <w:r>
        <w:t xml:space="preserve"> </w:t>
      </w:r>
      <w:r>
        <w:t xml:space="preserve">Q-004</w:t>
      </w:r>
    </w:p>
    <w:bookmarkEnd w:id="22"/>
    <w:bookmarkStart w:id="23" w:name="Xc4c2f6e33a5627db033e520b394c3030423da35"/>
    <w:p>
      <w:pPr>
        <w:pStyle w:val="Heading2"/>
      </w:pPr>
      <w:r>
        <w:t xml:space="preserve">A-004 — Working hours: normal daytime construction hours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Basis:</w:t>
      </w:r>
      <w:r>
        <w:t xml:space="preserve"> </w:t>
      </w:r>
      <w:r>
        <w:t xml:space="preserve">Typical greenfield site; no occupied-building constraint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Impact-if-wrong:</w:t>
      </w:r>
      <w:r>
        <w:t xml:space="preserve"> </w:t>
      </w:r>
      <w:r>
        <w:t xml:space="preserve">After-hours/weekend work adds ~25% labor premium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Linked RFI:</w:t>
      </w:r>
      <w:r>
        <w:t xml:space="preserve"> </w:t>
      </w:r>
      <w:r>
        <w:t xml:space="preserve">Q-013</w:t>
      </w:r>
    </w:p>
    <w:bookmarkEnd w:id="23"/>
    <w:bookmarkStart w:id="24" w:name="X448448bbae65945fd2ecf61d21bc8a3ef3059de"/>
    <w:p>
      <w:pPr>
        <w:pStyle w:val="Heading2"/>
      </w:pPr>
      <w:r>
        <w:t xml:space="preserve">A-005 — Currency PHP; payment 30-day; warranty 12 months from handover; retention 10%; VAT 12%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Basis:</w:t>
      </w:r>
      <w:r>
        <w:t xml:space="preserve"> </w:t>
      </w:r>
      <w:r>
        <w:t xml:space="preserve">Standard Philippine market terms for Megaworld portfolio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Impact-if-wrong:</w:t>
      </w:r>
      <w:r>
        <w:t xml:space="preserve"> </w:t>
      </w:r>
      <w:r>
        <w:t xml:space="preserve">Retention up to 15% reduces working capital; longer warranty raises spare-parts cost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Linked RFI:</w:t>
      </w:r>
      <w:r>
        <w:t xml:space="preserve"> </w:t>
      </w:r>
      <w:r>
        <w:t xml:space="preserve">Q-014</w:t>
      </w:r>
    </w:p>
    <w:bookmarkEnd w:id="24"/>
    <w:bookmarkStart w:id="25" w:name="Xfebec1e227e64cbcb44c3b6880e70813a3c67a9"/>
    <w:p>
      <w:pPr>
        <w:pStyle w:val="Heading2"/>
      </w:pPr>
      <w:r>
        <w:t xml:space="preserve">A-006 — Server-room / head-end PC siting at Lower Ground IT/Telecom room (typical placement)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Basis:</w:t>
      </w:r>
      <w:r>
        <w:t xml:space="preserve"> </w:t>
      </w:r>
      <w:r>
        <w:t xml:space="preserve">Lower Ground level co-located with chiller plant; Megaworld typical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Impact-if-wrong:</w:t>
      </w:r>
      <w:r>
        <w:t xml:space="preserve"> </w:t>
      </w:r>
      <w:r>
        <w:t xml:space="preserve">Head-end at 2F adds ~30 m fiber backbone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Linked RFI:</w:t>
      </w:r>
      <w:r>
        <w:t xml:space="preserve"> </w:t>
      </w:r>
      <w:r>
        <w:t xml:space="preserve">Q-006</w:t>
      </w:r>
    </w:p>
    <w:bookmarkEnd w:id="25"/>
    <w:bookmarkStart w:id="26" w:name="X8b9ac8d9ada6496ead07533c13cf3e43b05df16"/>
    <w:p>
      <w:pPr>
        <w:pStyle w:val="Heading2"/>
      </w:pPr>
      <w:r>
        <w:t xml:space="preserve">A-007 — Hotel PMS (Property Management System) integration NOT in base scope; offered as option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Basis:</w:t>
      </w:r>
      <w:r>
        <w:t xml:space="preserve"> </w:t>
      </w:r>
      <w:r>
        <w:t xml:space="preserve">Not stated in inputs; standard practice when not specified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Impact-if-wrong:</w:t>
      </w:r>
      <w:r>
        <w:t xml:space="preserve"> </w:t>
      </w:r>
      <w:r>
        <w:t xml:space="preserve">PMS integration adds ~PHP 800k–1.5M for gateway + per-room mapping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Linked RFI:</w:t>
      </w:r>
      <w:r>
        <w:t xml:space="preserve"> </w:t>
      </w:r>
      <w:r>
        <w:t xml:space="preserve">Q-007</w:t>
      </w:r>
    </w:p>
    <w:bookmarkEnd w:id="26"/>
    <w:bookmarkStart w:id="27" w:name="X5e78ec98bcb906c6aa68336ece1e7e3da510702"/>
    <w:p>
      <w:pPr>
        <w:pStyle w:val="Heading2"/>
      </w:pPr>
      <w:r>
        <w:t xml:space="preserve">A-008 — Guestroom per-room HVAC controls (FCU thermostats) NOT in BMS contractor scope; under fit-out / equipment-supplier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Basis:</w:t>
      </w:r>
      <w:r>
        <w:t xml:space="preserve"> </w:t>
      </w:r>
      <w:r>
        <w:t xml:space="preserve">Guestroom-floor BMS points list does not enumerate per-room FCU controls; only DOAS / PAHU / corridor exhaust shown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Impact-if-wrong:</w:t>
      </w:r>
      <w:r>
        <w:t xml:space="preserve"> </w:t>
      </w:r>
      <w:r>
        <w:t xml:space="preserve">If in scope, adds ~280 FCU controllers + cabling for 12 guestroom floors × ~24 rooms typical (≈ PHP 8–14M)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Linked RFI:</w:t>
      </w:r>
      <w:r>
        <w:t xml:space="preserve"> </w:t>
      </w:r>
      <w:r>
        <w:t xml:space="preserve">Q-003</w:t>
      </w:r>
    </w:p>
    <w:bookmarkEnd w:id="27"/>
    <w:bookmarkStart w:id="28" w:name="X2ca98a761c549842a2f57e83376c28955744fc8"/>
    <w:p>
      <w:pPr>
        <w:pStyle w:val="Heading2"/>
      </w:pPr>
      <w:r>
        <w:t xml:space="preserve">A-009 — Casino-floor CO sensors at AHU/DOAS return air: 1 per casino-serving AHU/DOAS, BMS-supplied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Basis:</w:t>
      </w:r>
      <w:r>
        <w:t xml:space="preserve"> </w:t>
      </w:r>
      <w:r>
        <w:t xml:space="preserve">Casino + back-of-house return-air mixing requires CO monitoring per</w:t>
      </w:r>
      <w:r>
        <w:t xml:space="preserve"> </w:t>
      </w:r>
      <w:r>
        <w:rPr>
          <w:rStyle w:val="VerbatimChar"/>
        </w:rPr>
        <w:t xml:space="preserve">bms-hospitality-casino</w:t>
      </w:r>
      <w:r>
        <w:t xml:space="preserve"> </w:t>
      </w:r>
      <w:r>
        <w:t xml:space="preserve">add-on rows; not explicitly enumerated in mechanical points list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Impact-if-wrong:</w:t>
      </w:r>
      <w:r>
        <w:t xml:space="preserve"> </w:t>
      </w:r>
      <w:r>
        <w:t xml:space="preserve">Removing them saves ~PHP 200k; gaming regulator may demand additional sensors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Linked RFI:</w:t>
      </w:r>
      <w:r>
        <w:t xml:space="preserve"> </w:t>
      </w:r>
      <w:r>
        <w:t xml:space="preserve">Q-008</w:t>
      </w:r>
    </w:p>
    <w:bookmarkEnd w:id="28"/>
    <w:bookmarkStart w:id="29" w:name="X40f9f5cdd11cfc4058a9aea6cdff789047eb858"/>
    <w:p>
      <w:pPr>
        <w:pStyle w:val="Heading2"/>
      </w:pPr>
      <w:r>
        <w:t xml:space="preserve">A-010 — Network: isolated BMS LAN with single uplink to customer LAN at server room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Basis:</w:t>
      </w:r>
      <w:r>
        <w:t xml:space="preserve"> </w:t>
      </w:r>
      <w:r>
        <w:t xml:space="preserve">Standard Megaworld topology; no IT-integration spec provided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Linked RFI:</w:t>
      </w:r>
      <w:r>
        <w:t xml:space="preserve"> </w:t>
      </w:r>
      <w:r>
        <w:t xml:space="preserve">(subsumed in scope assumption; not separately RFI’d)</w:t>
      </w:r>
    </w:p>
    <w:bookmarkEnd w:id="29"/>
    <w:bookmarkStart w:id="30" w:name="Xda6c6719278b1865dabfb9313bbd9fb35ab6f6a"/>
    <w:p>
      <w:pPr>
        <w:pStyle w:val="Heading2"/>
      </w:pPr>
      <w:r>
        <w:t xml:space="preserve">A-011 — Plumbing scope limited to Centralized Hot Water (calorifiers, headers, heat pumps, recirc pumps); domestic-water booster / transfer / sump / sewage pumps assumed NOT in BMS scope unless customer confirms otherwise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Basis:</w:t>
      </w:r>
      <w:r>
        <w:t xml:space="preserve"> </w:t>
      </w:r>
      <w:r>
        <w:t xml:space="preserve">Only Part C hot-water section provided; remainder of plumbing classes not in package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Impact-if-wrong:</w:t>
      </w:r>
      <w:r>
        <w:t xml:space="preserve"> </w:t>
      </w:r>
      <w:r>
        <w:t xml:space="preserve">If domestic-water booster pumps + sump/sewage pumps in scope, adds ~30 DI/DO + 20 cables (PHP 600k–1M)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Linked RFI:</w:t>
      </w:r>
      <w:r>
        <w:t xml:space="preserve"> </w:t>
      </w:r>
      <w:r>
        <w:t xml:space="preserve">Q-002</w:t>
      </w:r>
    </w:p>
    <w:bookmarkEnd w:id="30"/>
    <w:bookmarkStart w:id="31" w:name="X08a3327eae2b38bddeacf27de12a05c68ea0c98"/>
    <w:p>
      <w:pPr>
        <w:pStyle w:val="Heading2"/>
      </w:pPr>
      <w:r>
        <w:t xml:space="preserve">A-012 — Cable typical-range fallbacks (per Operating Principle #11)</w:t>
      </w:r>
    </w:p>
    <w:p>
      <w:pPr>
        <w:pStyle w:val="FirstParagraph"/>
      </w:pPr>
      <w:r>
        <w:t xml:space="preserve">See</w:t>
      </w:r>
      <w:r>
        <w:t xml:space="preserve"> </w:t>
      </w:r>
      <w:r>
        <w:rPr>
          <w:rStyle w:val="VerbatimChar"/>
        </w:rPr>
        <w:t xml:space="preserve">05-working-docs/A3-route-lengths.yaml</w:t>
      </w:r>
      <w:r>
        <w:t xml:space="preserve"> </w:t>
      </w:r>
      <w:r>
        <w:t xml:space="preserve">for the structured per-context typical-ranges table. Headline values:</w:t>
      </w:r>
      <w:r>
        <w:t xml:space="preserve"> </w:t>
      </w:r>
      <w:r>
        <w:t xml:space="preserve">- Plant-room cables (panel in same room):</w:t>
      </w:r>
      <w:r>
        <w:t xml:space="preserve"> </w:t>
      </w:r>
      <w:r>
        <w:rPr>
          <w:bCs/>
          <w:b/>
        </w:rPr>
        <w:t xml:space="preserve">12 m typical</w:t>
      </w:r>
      <w:r>
        <w:t xml:space="preserve"> </w:t>
      </w:r>
      <w:r>
        <w:t xml:space="preserve">- Inter-floor risers:</w:t>
      </w:r>
      <w:r>
        <w:t xml:space="preserve"> </w:t>
      </w:r>
      <w:r>
        <w:rPr>
          <w:bCs/>
          <w:b/>
        </w:rPr>
        <w:t xml:space="preserve">35 m per floor</w:t>
      </w:r>
      <w:r>
        <w:t xml:space="preserve"> </w:t>
      </w:r>
      <w:r>
        <w:t xml:space="preserve">- Guestroom-corridor field cables:</w:t>
      </w:r>
      <w:r>
        <w:t xml:space="preserve"> </w:t>
      </w:r>
      <w:r>
        <w:rPr>
          <w:bCs/>
          <w:b/>
        </w:rPr>
        <w:t xml:space="preserve">35 m typical</w:t>
      </w:r>
      <w:r>
        <w:t xml:space="preserve"> </w:t>
      </w:r>
      <w:r>
        <w:t xml:space="preserve">- BOH device cables (panel on same floor):</w:t>
      </w:r>
      <w:r>
        <w:t xml:space="preserve"> </w:t>
      </w:r>
      <w:r>
        <w:rPr>
          <w:bCs/>
          <w:b/>
        </w:rPr>
        <w:t xml:space="preserve">22 m typical</w:t>
      </w:r>
      <w:r>
        <w:t xml:space="preserve"> </w:t>
      </w:r>
      <w:r>
        <w:t xml:space="preserve">- Roofdeck plant-area cables (CT/PAHU):</w:t>
      </w:r>
      <w:r>
        <w:t xml:space="preserve"> </w:t>
      </w:r>
      <w:r>
        <w:rPr>
          <w:bCs/>
          <w:b/>
        </w:rPr>
        <w:t xml:space="preserve">15 m typical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Basis:</w:t>
      </w:r>
      <w:r>
        <w:t xml:space="preserve"> </w:t>
      </w:r>
      <w:r>
        <w:t xml:space="preserve">Industry standard ranges + RtRx prior projects; calibrated against EE/ECE plan column-grid bays (7.5 m typical)</w:t>
      </w:r>
    </w:p>
    <w:bookmarkEnd w:id="31"/>
    <w:bookmarkStart w:id="32" w:name="X8487685941082aa526c6e6043070a844c2d78ff"/>
    <w:p>
      <w:pPr>
        <w:pStyle w:val="Heading2"/>
      </w:pPr>
      <w:r>
        <w:t xml:space="preserve">A-013 — Cooling tower count: 3 (Roofdeck, CT-1 to CT-3) per BMS Points list</w:t>
      </w:r>
    </w:p>
    <w:bookmarkEnd w:id="32"/>
    <w:bookmarkStart w:id="33" w:name="Xc80b9905e883e75e1f70734516893fa73223042"/>
    <w:p>
      <w:pPr>
        <w:pStyle w:val="Heading2"/>
      </w:pPr>
      <w:r>
        <w:t xml:space="preserve">A-014 — Chiller count: 3 (Lower Ground 2F level) per BMS Points list</w:t>
      </w:r>
    </w:p>
    <w:bookmarkEnd w:id="33"/>
    <w:bookmarkStart w:id="34" w:name="a-015-primary-chw-pump-count-3"/>
    <w:p>
      <w:pPr>
        <w:pStyle w:val="Heading2"/>
      </w:pPr>
      <w:r>
        <w:t xml:space="preserve">A-015 — Primary CHW pump count: 3</w:t>
      </w:r>
    </w:p>
    <w:bookmarkEnd w:id="34"/>
    <w:bookmarkStart w:id="35" w:name="a-016-condenser-water-pump-count-3"/>
    <w:p>
      <w:pPr>
        <w:pStyle w:val="Heading2"/>
      </w:pPr>
      <w:r>
        <w:t xml:space="preserve">A-016 — Condenser water pump count: 3</w:t>
      </w:r>
    </w:p>
    <w:bookmarkEnd w:id="35"/>
    <w:bookmarkStart w:id="36" w:name="X3aa4ac0d6e3ef9e0ce2f2d63ec3cfbca6e3954a"/>
    <w:p>
      <w:pPr>
        <w:pStyle w:val="Heading2"/>
      </w:pPr>
      <w:r>
        <w:t xml:space="preserve">A-017 — Calorifier set: 3 LZ + 3 HZ = 6 total (with 6 heat pumps + 6 circulating pumps)</w:t>
      </w:r>
    </w:p>
    <w:bookmarkEnd w:id="36"/>
    <w:bookmarkStart w:id="37" w:name="X776b55adaf9d3f066fd4dba50655999f76cefdb"/>
    <w:p>
      <w:pPr>
        <w:pStyle w:val="Heading2"/>
      </w:pPr>
      <w:r>
        <w:t xml:space="preserve">A-018 — Boiler count: 1 set (SB-1 + SB-2 = 1 lead + 1 standby) at Lower Ground</w:t>
      </w:r>
    </w:p>
    <w:bookmarkEnd w:id="37"/>
    <w:bookmarkStart w:id="38" w:name="Xdb8c39d6b3c56015da6d188cbab4e2fd8bd93d5"/>
    <w:p>
      <w:pPr>
        <w:pStyle w:val="Heading2"/>
      </w:pPr>
      <w:r>
        <w:t xml:space="preserve">A-019 — DOAS units: 3 total (2 Roofdeck for guestrooms + 1 2nd Level Casino)</w:t>
      </w:r>
    </w:p>
    <w:bookmarkEnd w:id="38"/>
    <w:bookmarkStart w:id="39" w:name="X4c7c00b81b3432b75c30b6abcc17fae946d77ba"/>
    <w:p>
      <w:pPr>
        <w:pStyle w:val="Heading2"/>
      </w:pPr>
      <w:r>
        <w:t xml:space="preserve">A-020 — PAHU units: 7 (per BMS-03 P&amp;ID) — typical-floor ratio</w:t>
      </w:r>
    </w:p>
    <w:bookmarkEnd w:id="39"/>
    <w:bookmarkStart w:id="40" w:name="X563c4a78e830fe64781c97df49ff6961cc806e4"/>
    <w:p>
      <w:pPr>
        <w:pStyle w:val="Heading2"/>
      </w:pPr>
      <w:r>
        <w:t xml:space="preserve">A-021 — Casino AHU count: 2 (AHU-2M.1, AHU-2M.2)</w:t>
      </w:r>
    </w:p>
    <w:bookmarkEnd w:id="40"/>
    <w:bookmarkStart w:id="41" w:name="a-022-casino-ionizer-count-2"/>
    <w:p>
      <w:pPr>
        <w:pStyle w:val="Heading2"/>
      </w:pPr>
      <w:r>
        <w:t xml:space="preserve">A-022 — Casino ionizer count: 2</w:t>
      </w:r>
    </w:p>
    <w:bookmarkEnd w:id="41"/>
    <w:bookmarkStart w:id="42" w:name="X9cd576243cd3e94d1dee4646b7b944f8175a6a5"/>
    <w:p>
      <w:pPr>
        <w:pStyle w:val="Heading2"/>
      </w:pPr>
      <w:r>
        <w:t xml:space="preserve">A-023 — General Ventilation (toilet + general exhaust) fans: ~68 across all floors per BMS-01 tabulation</w:t>
      </w:r>
    </w:p>
    <w:p>
      <w:pPr>
        <w:numPr>
          <w:ilvl w:val="0"/>
          <w:numId w:val="1012"/>
        </w:numPr>
        <w:pStyle w:val="Compact"/>
      </w:pPr>
      <w:r>
        <w:t xml:space="preserve">2nd Level: 6 (TEF-2.1, TEF-2.3, TEF-2B.3, GS.1, GS.2 + 1 general)</w:t>
      </w:r>
    </w:p>
    <w:p>
      <w:pPr>
        <w:numPr>
          <w:ilvl w:val="0"/>
          <w:numId w:val="1012"/>
        </w:numPr>
        <w:pStyle w:val="Compact"/>
      </w:pPr>
      <w:r>
        <w:t xml:space="preserve">Ground Floor lobby: 9 (TEF-1.1..1.4, EF-1.2A, EF-LPG.1, EF-1MR.1, EF-1STO.1, EF-MRF.1)</w:t>
      </w:r>
    </w:p>
    <w:p>
      <w:pPr>
        <w:numPr>
          <w:ilvl w:val="0"/>
          <w:numId w:val="1012"/>
        </w:numPr>
        <w:pStyle w:val="Compact"/>
      </w:pPr>
      <w:r>
        <w:t xml:space="preserve">3rd Amenity Area: 27 (TEF-3A×2, TEF-3B, TEF-3C×2, TEF-3D×20)</w:t>
      </w:r>
    </w:p>
    <w:p>
      <w:pPr>
        <w:numPr>
          <w:ilvl w:val="0"/>
          <w:numId w:val="1012"/>
        </w:numPr>
        <w:pStyle w:val="Compact"/>
      </w:pPr>
      <w:r>
        <w:t xml:space="preserve">Basement: 16</w:t>
      </w:r>
    </w:p>
    <w:p>
      <w:pPr>
        <w:numPr>
          <w:ilvl w:val="0"/>
          <w:numId w:val="1012"/>
        </w:numPr>
        <w:pStyle w:val="Compact"/>
      </w:pPr>
      <w:r>
        <w:t xml:space="preserve">Roofdeck: 2 (EF-RD.1, EF-RD.2, EF-1)</w:t>
      </w:r>
    </w:p>
    <w:p>
      <w:pPr>
        <w:numPr>
          <w:ilvl w:val="0"/>
          <w:numId w:val="1012"/>
        </w:numPr>
        <w:pStyle w:val="Compact"/>
      </w:pPr>
      <w:r>
        <w:t xml:space="preserve">Other floors: balance to 68</w:t>
      </w:r>
    </w:p>
    <w:bookmarkEnd w:id="42"/>
    <w:bookmarkStart w:id="43" w:name="X31ac30c6feb8484cb6abe49d8013733db750b27"/>
    <w:p>
      <w:pPr>
        <w:pStyle w:val="Heading2"/>
      </w:pPr>
      <w:r>
        <w:t xml:space="preserve">A-024 — BMS field-panel count: 1 per floor + 1 chiller plant + 1 roofdeck + 1 head-end = ~14 panels</w:t>
      </w:r>
    </w:p>
    <w:p>
      <w:pPr>
        <w:numPr>
          <w:ilvl w:val="0"/>
          <w:numId w:val="1013"/>
        </w:numPr>
        <w:pStyle w:val="Compact"/>
      </w:pPr>
      <w:r>
        <w:t xml:space="preserve">Lower Ground (chiller + boiler + LZ plumbing): 1</w:t>
      </w:r>
    </w:p>
    <w:p>
      <w:pPr>
        <w:numPr>
          <w:ilvl w:val="0"/>
          <w:numId w:val="1013"/>
        </w:numPr>
        <w:pStyle w:val="Compact"/>
      </w:pPr>
      <w:r>
        <w:t xml:space="preserve">Basement: 1</w:t>
      </w:r>
    </w:p>
    <w:p>
      <w:pPr>
        <w:numPr>
          <w:ilvl w:val="0"/>
          <w:numId w:val="1013"/>
        </w:numPr>
        <w:pStyle w:val="Compact"/>
      </w:pPr>
      <w:r>
        <w:t xml:space="preserve">GF + GFM: 1</w:t>
      </w:r>
    </w:p>
    <w:p>
      <w:pPr>
        <w:numPr>
          <w:ilvl w:val="0"/>
          <w:numId w:val="1013"/>
        </w:numPr>
        <w:pStyle w:val="Compact"/>
      </w:pPr>
      <w:r>
        <w:t xml:space="preserve">2F + 2F Mez (Casino + BOH): 1 (high-density panel due to casino MVAC + AHU)</w:t>
      </w:r>
    </w:p>
    <w:p>
      <w:pPr>
        <w:numPr>
          <w:ilvl w:val="0"/>
          <w:numId w:val="1013"/>
        </w:numPr>
        <w:pStyle w:val="Compact"/>
      </w:pPr>
      <w:r>
        <w:t xml:space="preserve">3F: 1</w:t>
      </w:r>
    </w:p>
    <w:p>
      <w:pPr>
        <w:numPr>
          <w:ilvl w:val="0"/>
          <w:numId w:val="1013"/>
        </w:numPr>
        <w:pStyle w:val="Compact"/>
      </w:pPr>
      <w:r>
        <w:t xml:space="preserve">5F: 1</w:t>
      </w:r>
    </w:p>
    <w:p>
      <w:pPr>
        <w:numPr>
          <w:ilvl w:val="0"/>
          <w:numId w:val="1013"/>
        </w:numPr>
        <w:pStyle w:val="Compact"/>
      </w:pPr>
      <w:r>
        <w:t xml:space="preserve">6-9F (typical-floor stack): 1 per floor = 4</w:t>
      </w:r>
    </w:p>
    <w:p>
      <w:pPr>
        <w:numPr>
          <w:ilvl w:val="0"/>
          <w:numId w:val="1013"/>
        </w:numPr>
        <w:pStyle w:val="Compact"/>
      </w:pPr>
      <w:r>
        <w:t xml:space="preserve">10-11F: 1 per floor = 2</w:t>
      </w:r>
    </w:p>
    <w:p>
      <w:pPr>
        <w:numPr>
          <w:ilvl w:val="0"/>
          <w:numId w:val="1013"/>
        </w:numPr>
        <w:pStyle w:val="Compact"/>
      </w:pPr>
      <w:r>
        <w:t xml:space="preserve">12F: 1</w:t>
      </w:r>
    </w:p>
    <w:p>
      <w:pPr>
        <w:numPr>
          <w:ilvl w:val="0"/>
          <w:numId w:val="1013"/>
        </w:numPr>
        <w:pStyle w:val="Compact"/>
      </w:pPr>
      <w:r>
        <w:t xml:space="preserve">Roof Deck (PAHU + CT + HZ plumbing): 1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Total: ~14 BMS field panels</w:t>
      </w:r>
    </w:p>
    <w:bookmarkEnd w:id="43"/>
    <w:bookmarkStart w:id="44" w:name="Xebea594196bfa3ce8b0d8a2f145d4e13cc5c161"/>
    <w:p>
      <w:pPr>
        <w:pStyle w:val="Heading2"/>
      </w:pPr>
      <w:r>
        <w:t xml:space="preserve">A-025 — BMS Network: BACnet/IP backbone (server-room ↔ floor switches via fiber); BACnet/MS-TP at field (panels ↔ unit controllers); Modbus RTU/TCP for power meters and BTU meters</w:t>
      </w:r>
    </w:p>
    <w:p>
      <w:pPr>
        <w:numPr>
          <w:ilvl w:val="0"/>
          <w:numId w:val="1014"/>
        </w:numPr>
        <w:pStyle w:val="Compact"/>
      </w:pPr>
      <w:r>
        <w:t xml:space="preserve">Per Megaworld DRC-004-2024 standard practice + BMS-01/02 general specifications</w:t>
      </w:r>
    </w:p>
    <w:bookmarkEnd w:id="44"/>
    <w:bookmarkStart w:id="45" w:name="X7a23e278f9eb4c3c3707cee84dd6fd433397030"/>
    <w:p>
      <w:pPr>
        <w:pStyle w:val="Heading2"/>
      </w:pPr>
      <w:r>
        <w:t xml:space="preserve">A-026 — UPS for head-end + each BMS field panel: 30 minutes runtime</w:t>
      </w:r>
    </w:p>
    <w:p>
      <w:pPr>
        <w:numPr>
          <w:ilvl w:val="0"/>
          <w:numId w:val="1015"/>
        </w:numPr>
        <w:pStyle w:val="Compact"/>
      </w:pPr>
      <w:r>
        <w:t xml:space="preserve">1× rack-mount UPS for server room (3 kVA)</w:t>
      </w:r>
    </w:p>
    <w:p>
      <w:pPr>
        <w:numPr>
          <w:ilvl w:val="0"/>
          <w:numId w:val="1015"/>
        </w:numPr>
        <w:pStyle w:val="Compact"/>
      </w:pPr>
      <w:r>
        <w:t xml:space="preserve">1× small UPS per field panel (500 VA)</w:t>
      </w:r>
    </w:p>
    <w:bookmarkEnd w:id="45"/>
    <w:bookmarkStart w:id="46" w:name="X309153675dc3e3f493a7711b606184a55a4d2cd"/>
    <w:p>
      <w:pPr>
        <w:pStyle w:val="Heading2"/>
      </w:pPr>
      <w:r>
        <w:t xml:space="preserve">A-027 — BMS panel power feeds: 240V single-phase, 20 A, NEMA-1 — derived from EE Plan panel-tag conventions (</w:t>
      </w:r>
      <w:r>
        <w:t xml:space="preserve">“</w:t>
      </w:r>
      <w:r>
        <w:t xml:space="preserve">20AT 230V 2P NEMA-1</w:t>
      </w:r>
      <w:r>
        <w:t xml:space="preserve">”</w:t>
      </w:r>
      <w:r>
        <w:t xml:space="preserve">)</w:t>
      </w:r>
    </w:p>
    <w:bookmarkEnd w:id="46"/>
    <w:bookmarkStart w:id="47" w:name="X3c0202d6b58dd33cf36eaf7bae0ff70d3956ef2"/>
    <w:p>
      <w:pPr>
        <w:pStyle w:val="Heading2"/>
      </w:pPr>
      <w:r>
        <w:t xml:space="preserve">A-028 — Conduit-to-cable ratio: 35% (greenfield, BMS-installed conduit in mostly tray-fed environment); per</w:t>
      </w:r>
      <w:r>
        <w:t xml:space="preserve"> </w:t>
      </w:r>
      <w:r>
        <w:rPr>
          <w:rStyle w:val="VerbatimChar"/>
        </w:rPr>
        <w:t xml:space="preserve">B4-site-factors.yaml</w:t>
      </w:r>
    </w:p>
    <w:p>
      <w:pPr>
        <w:numPr>
          <w:ilvl w:val="0"/>
          <w:numId w:val="1016"/>
        </w:numPr>
        <w:pStyle w:val="Compact"/>
      </w:pPr>
      <w:r>
        <w:t xml:space="preserve">Basis: Megaworld typical hospitality 30–40% range; per Op#11 reasoned per project (note: helper default is 30%)</w:t>
      </w:r>
    </w:p>
    <w:bookmarkEnd w:id="47"/>
    <w:bookmarkStart w:id="48" w:name="X705bc8b0ccd4c7697ebae69fab60993018baae0"/>
    <w:p>
      <w:pPr>
        <w:pStyle w:val="Heading2"/>
      </w:pPr>
      <w:r>
        <w:t xml:space="preserve">A-029 — Production rate modifier: 1.0 (greenfield, daytime, single shift); per</w:t>
      </w:r>
      <w:r>
        <w:t xml:space="preserve"> </w:t>
      </w:r>
      <w:r>
        <w:rPr>
          <w:rStyle w:val="VerbatimChar"/>
        </w:rPr>
        <w:t xml:space="preserve">B4-site-factors.yaml</w:t>
      </w:r>
    </w:p>
    <w:bookmarkEnd w:id="48"/>
    <w:bookmarkStart w:id="49" w:name="X18d809d332f6919b297d45a276084de9d80fec0"/>
    <w:p>
      <w:pPr>
        <w:pStyle w:val="Heading2"/>
      </w:pPr>
      <w:r>
        <w:t xml:space="preserve">A-030 — Trend-log strategy: 100% AI / 50% DI / 80% HLI (casino regulatory + hospitality energy-management); per</w:t>
      </w:r>
      <w:r>
        <w:t xml:space="preserve"> </w:t>
      </w:r>
      <w:r>
        <w:rPr>
          <w:rStyle w:val="VerbatimChar"/>
        </w:rPr>
        <w:t xml:space="preserve">B1-trend-strategy.yaml</w:t>
      </w:r>
    </w:p>
    <w:p>
      <w:pPr>
        <w:numPr>
          <w:ilvl w:val="0"/>
          <w:numId w:val="1017"/>
        </w:numPr>
        <w:pStyle w:val="Compact"/>
      </w:pPr>
      <w:r>
        <w:t xml:space="preserve">Basis: Casino + hotel — slightly elevated DI trending vs. plain hotel</w:t>
      </w:r>
    </w:p>
    <w:bookmarkEnd w:id="49"/>
    <w:bookmarkStart w:id="50" w:name="X9d1fe4c7adf98311383ef28fda8efa555e8e241"/>
    <w:p>
      <w:pPr>
        <w:pStyle w:val="Heading2"/>
      </w:pPr>
      <w:r>
        <w:t xml:space="preserve">A-031 — Overhead 18%, Contingency 8%, VAT 12% (per</w:t>
      </w:r>
      <w:r>
        <w:t xml:space="preserve"> </w:t>
      </w:r>
      <w:r>
        <w:rPr>
          <w:rStyle w:val="VerbatimChar"/>
        </w:rPr>
        <w:t xml:space="preserve">06-commercial-rates.yaml</w:t>
      </w:r>
      <w:r>
        <w:t xml:space="preserve">)</w:t>
      </w:r>
    </w:p>
    <w:p>
      <w:pPr>
        <w:numPr>
          <w:ilvl w:val="0"/>
          <w:numId w:val="1018"/>
        </w:numPr>
        <w:pStyle w:val="Compact"/>
      </w:pPr>
      <w:r>
        <w:t xml:space="preserve">Basis: Greenfield + Megaworld portfolio = mature relationship + standard MEP-coordinated install. Contingency above standard 7.5% to absorb the missing-drawings risk (G-105/G-106/G-111).</w:t>
      </w:r>
    </w:p>
    <w:bookmarkEnd w:id="50"/>
    <w:bookmarkStart w:id="51" w:name="Xd9f07fc454c7597eaf651905d51512b24aca61f"/>
    <w:p>
      <w:pPr>
        <w:pStyle w:val="Heading2"/>
      </w:pPr>
      <w:r>
        <w:t xml:space="preserve">A-032 — Spare I/O capacity: 25% spare per AI/AO/DI/DO class; per BMS-01 spec text and standard</w:t>
      </w:r>
    </w:p>
    <w:bookmarkEnd w:id="51"/>
    <w:bookmarkStart w:id="52" w:name="X5df1044d1b547c05f60e1cf2a66335e7751162d"/>
    <w:p>
      <w:pPr>
        <w:pStyle w:val="Heading2"/>
      </w:pPr>
      <w:r>
        <w:t xml:space="preserve">A-033 — Training: 5 days operator training + 3 days engineer training + 1 refresher 6 months post-handover</w:t>
      </w:r>
    </w:p>
    <w:p>
      <w:pPr>
        <w:numPr>
          <w:ilvl w:val="0"/>
          <w:numId w:val="1019"/>
        </w:numPr>
        <w:pStyle w:val="Compact"/>
      </w:pPr>
      <w:r>
        <w:t xml:space="preserve">Basis: Standard hospitality+casino BMS handover</w:t>
      </w:r>
    </w:p>
    <w:bookmarkEnd w:id="52"/>
    <w:bookmarkStart w:id="53" w:name="Xc83eef73cb89850854c567915a89d65cedba31e"/>
    <w:p>
      <w:pPr>
        <w:pStyle w:val="Heading2"/>
      </w:pPr>
      <w:r>
        <w:t xml:space="preserve">A-034 — FAT location: Manila workshop; 2-day duration; customer witness invited</w:t>
      </w:r>
    </w:p>
    <w:p>
      <w:pPr>
        <w:numPr>
          <w:ilvl w:val="0"/>
          <w:numId w:val="1020"/>
        </w:numPr>
        <w:pStyle w:val="Compact"/>
      </w:pPr>
      <w:r>
        <w:t xml:space="preserve">Basis: Standard for Megaworld portfolio</w:t>
      </w:r>
    </w:p>
    <w:bookmarkEnd w:id="53"/>
    <w:bookmarkStart w:id="54" w:name="X8ad51737116fefa664d74ea532a2abedf8dc54b"/>
    <w:p>
      <w:pPr>
        <w:pStyle w:val="Heading2"/>
      </w:pPr>
      <w:r>
        <w:t xml:space="preserve">A-035 — Submittals: 3-stage (preliminary 30%, intermediate 60%, final 90%) per Megaworld typical</w:t>
      </w:r>
    </w:p>
    <w:bookmarkEnd w:id="54"/>
    <w:bookmarkEnd w:id="5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2026-04-28T00:00:28Z</dcterms:created>
  <dcterms:modified xsi:type="dcterms:W3CDTF">2026-04-28T00:00:28Z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