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7" w:name="customer-clarifications-rfi-list"/>
    <w:p>
      <w:pPr>
        <w:pStyle w:val="Heading1"/>
      </w:pPr>
      <w:r>
        <w:t xml:space="preserve">08 — Customer Clarifications (RFI list)</w:t>
      </w:r>
    </w:p>
    <w:p>
      <w:pPr>
        <w:pStyle w:val="FirstParagraph"/>
      </w:pPr>
      <w:r>
        <w:rPr>
          <w:bCs/>
          <w:b/>
        </w:rPr>
        <w:t xml:space="preserve">Project:</w:t>
      </w:r>
      <w:r>
        <w:t xml:space="preserve"> </w:t>
      </w:r>
      <w:r>
        <w:t xml:space="preserve">Kingsford Hotel Bacolod — BMS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2026-04-28</w:t>
      </w:r>
    </w:p>
    <w:p>
      <w:pPr>
        <w:pStyle w:val="BodyText"/>
      </w:pPr>
      <w:r>
        <w:t xml:space="preserve">Items requiring Megaworld input. Each Q-NNN has the question, why we need it, our current assumption (with A-NNN cross-ref), and the impact of the customer’s answer.</w:t>
      </w:r>
    </w:p>
    <w:bookmarkStart w:id="20" w:name="Xf67b0550763b88b93fe92051f2d221da44db2ce"/>
    <w:p>
      <w:pPr>
        <w:pStyle w:val="Heading2"/>
      </w:pPr>
      <w:r>
        <w:t xml:space="preserve">Q-001 — Confirm project stage: Greenfield (new construction) per drawing evidence, vs. cover-letter</w:t>
      </w:r>
      <w:r>
        <w:t xml:space="preserve"> </w:t>
      </w:r>
      <w:r>
        <w:t xml:space="preserve">“</w:t>
      </w:r>
      <w:r>
        <w:t xml:space="preserve">Rehabilitation</w:t>
      </w:r>
      <w:r>
        <w:t xml:space="preserve">”</w:t>
      </w:r>
      <w:r>
        <w:t xml:space="preserve"> </w:t>
      </w:r>
      <w:r>
        <w:t xml:space="preserve">wording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Cover letter uses rehabilitation; Construction Bulletin No.8 (2025-11) and absence of existing-system inventory point to greenfield. We have classified greenfield (D-002 / A-001).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to confirm:</w:t>
      </w:r>
      <w:r>
        <w:t xml:space="preserve"> </w:t>
      </w:r>
      <w:r>
        <w:t xml:space="preserve">Project is greenfield new construction.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±30% on proposal scope (demolition, hot cutover, after-hours premiums)</w:t>
      </w:r>
    </w:p>
    <w:bookmarkEnd w:id="20"/>
    <w:bookmarkStart w:id="21" w:name="q-002-confirm-plumbing-scope-coverage"/>
    <w:p>
      <w:pPr>
        <w:pStyle w:val="Heading2"/>
      </w:pPr>
      <w:r>
        <w:t xml:space="preserve">Q-002 — Confirm plumbing scope coverage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PL points list provided covers Centralized Hot Water only. Domestic water booster pumps, transfer pumps, sump pumps, sewage ejectors, water tanks are not in the package.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to provide:</w:t>
      </w:r>
      <w:r>
        <w:t xml:space="preserve"> </w:t>
      </w:r>
      <w:r>
        <w:t xml:space="preserve">Remaining tabs of source workbook (DRC-004-2024) for plumbing equipment beyond hot water; OR confirm that hot water alone is the BMS plumbing scope.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A-011 — hot water only.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Adds ~30 DI/DO, ~20 cables, ~PHP 600k–1M if domestic-water + sump scope added</w:t>
      </w:r>
    </w:p>
    <w:bookmarkEnd w:id="21"/>
    <w:bookmarkStart w:id="22" w:name="Xabc40e9c89cd437c9ae8bce65aea72b60bac2e9"/>
    <w:p>
      <w:pPr>
        <w:pStyle w:val="Heading2"/>
      </w:pPr>
      <w:r>
        <w:t xml:space="preserve">Q-003 — Guestroom per-room HVAC controls in BMS scope?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Guestroom-floor BMS points show only DOAS/PAHU/corridor exhausts; no per-room FCU thermostat enumeration.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to confirm:</w:t>
      </w:r>
      <w:r>
        <w:t xml:space="preserve"> </w:t>
      </w:r>
      <w:r>
        <w:t xml:space="preserve">Per-room FCU controllers + thermostats for ~280 guestrooms (12 floors × ~24 rooms) are in BMS contractor scope, OR under fit-out / equipment-supplier scope.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A-008 — out of BMS scope.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PHP 8–14M if in scope</w:t>
      </w:r>
    </w:p>
    <w:bookmarkEnd w:id="22"/>
    <w:bookmarkStart w:id="23" w:name="Xf2f72dd15411c8d94b7e765edffaae5f1c50624"/>
    <w:p>
      <w:pPr>
        <w:pStyle w:val="Heading2"/>
      </w:pPr>
      <w:r>
        <w:t xml:space="preserve">Q-004 — Required completion date / project schedule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Drives mobilization, manpower loading, T&amp;C windows.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to provide:</w:t>
      </w:r>
      <w:r>
        <w:t xml:space="preserve"> </w:t>
      </w:r>
      <w:r>
        <w:t xml:space="preserve">Required handover date or contract-execution-to-handover duration.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A-003 — 16 weeks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Crash schedule adds night-shift + duplicate teams; relaxed schedule reduces peak manpower and idle time</w:t>
      </w:r>
    </w:p>
    <w:bookmarkEnd w:id="23"/>
    <w:bookmarkStart w:id="24" w:name="Xefb3204cae277dba17fee6669bcf3be7a717623"/>
    <w:p>
      <w:pPr>
        <w:pStyle w:val="Heading2"/>
      </w:pPr>
      <w:r>
        <w:t xml:space="preserve">Q-005 — Architectural floor plans + mechanical/plumbing layout drawings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Enable full cable-route measurement; the EE/ECE sheets carry architectural backgrounds but mechanical/plumbing equipment locations are not depicted.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to provide:</w:t>
      </w:r>
      <w:r>
        <w:t xml:space="preserve"> </w:t>
      </w:r>
      <w:r>
        <w:t xml:space="preserve">AR floor plans (all floors), ME layouts (chiller plant, roofdeck mechanical, AHU rooms), PL layouts.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A-012 — typical-range cable lengths per context per Op#11 reasoned table.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Refines BOQ cable + conduit ±15%</w:t>
      </w:r>
    </w:p>
    <w:bookmarkEnd w:id="24"/>
    <w:bookmarkStart w:id="25" w:name="q-006-server-room-head-end-pc-location"/>
    <w:p>
      <w:pPr>
        <w:pStyle w:val="Heading2"/>
      </w:pPr>
      <w:r>
        <w:t xml:space="preserve">Q-006 — Server-room / head-end PC location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Drives fiber backbone length and 24V/UPS routing.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A-006 — Lower Ground IT/telecom room.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Alternate location adds ~30 m fiber + minor</w:t>
      </w:r>
    </w:p>
    <w:bookmarkEnd w:id="25"/>
    <w:bookmarkStart w:id="26" w:name="X0dbb62d9dbfc3e555b5507d58e373be27078733"/>
    <w:p>
      <w:pPr>
        <w:pStyle w:val="Heading2"/>
      </w:pPr>
      <w:r>
        <w:t xml:space="preserve">Q-007 — Hotel PMS (Property Management System) integration scope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Determines whether per-room HVAC setbacks driven by check-in/check-out events are in scope.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A-007 — out of base scope, offered as option.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PHP 800k–1.5M if added (gateway + per-room mapping)</w:t>
      </w:r>
    </w:p>
    <w:bookmarkEnd w:id="26"/>
    <w:bookmarkStart w:id="27" w:name="X8c325c535e7ded869c0144c2a295cb8c57904ec"/>
    <w:p>
      <w:pPr>
        <w:pStyle w:val="Heading2"/>
      </w:pPr>
      <w:r>
        <w:t xml:space="preserve">Q-008 — Casino-floor CO sensors at AHU/DOAS return air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Casino + back-of-house return-air mixing typically requires CO monitoring per gaming-board / IAQ minimums; not explicitly enumerated in ME points list.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A-009 — 1 CO sensor per casino-serving AHU/DOAS return (3 total).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Saves PHP 200k if removed; or expands if regulator demands more</w:t>
      </w:r>
    </w:p>
    <w:bookmarkEnd w:id="27"/>
    <w:bookmarkStart w:id="28" w:name="Xf67cbcd6bde2f4bb17b01154e3be7c751c6993d"/>
    <w:p>
      <w:pPr>
        <w:pStyle w:val="Heading2"/>
      </w:pPr>
      <w:r>
        <w:t xml:space="preserve">Q-009 — Complete EE drawing set (full EE-01..EE-24 + EE-24 part 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EE Plan PDF provided is Construction Bulletin No.8 only — covers revised sheets EE-03/06/09/12/21/22/23/24-part-1. Other unrevised sheets needed for full panel-context.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Customer to provide:</w:t>
      </w:r>
      <w:r>
        <w:t xml:space="preserve"> </w:t>
      </w:r>
      <w:r>
        <w:t xml:space="preserve">Complete EE set, all currently-issued revisions; EE-24 part 2 power riser.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Use load schedules EE-21..23 + riser EE-24 part 1 as proxy.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Refines per-panel power-feed sourcing; minor BOQ effect (≤2%)</w:t>
      </w:r>
    </w:p>
    <w:bookmarkEnd w:id="28"/>
    <w:bookmarkStart w:id="29" w:name="q-010-bms-04-sheet"/>
    <w:p>
      <w:pPr>
        <w:pStyle w:val="Heading2"/>
      </w:pPr>
      <w:r>
        <w:t xml:space="preserve">Q-010 — BMS-04 sheet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BMS-03 P&amp;ID detail bubbles reference BMS-04 (</w:t>
      </w:r>
      <w:r>
        <w:t xml:space="preserve">“</w:t>
      </w:r>
      <w:r>
        <w:t xml:space="preserve">1/BMS-04</w:t>
      </w:r>
      <w:r>
        <w:t xml:space="preserve">”</w:t>
      </w:r>
      <w:r>
        <w:t xml:space="preserve">) but the sheet is not in the PDF.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Customer to provide:</w:t>
      </w:r>
      <w:r>
        <w:t xml:space="preserve"> </w:t>
      </w:r>
      <w:r>
        <w:t xml:space="preserve">BMS-04 sheet content.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Likely minor; could clarify casino-MVAC or boiler details</w:t>
      </w:r>
    </w:p>
    <w:bookmarkEnd w:id="29"/>
    <w:bookmarkStart w:id="30" w:name="q-011-ppcas-14-panel-relocation"/>
    <w:p>
      <w:pPr>
        <w:pStyle w:val="Heading2"/>
      </w:pPr>
      <w:r>
        <w:t xml:space="preserve">Q-011 — PPCAS-14 panel relocation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EE-09 carries an open APD markup:</w:t>
      </w:r>
      <w:r>
        <w:t xml:space="preserve"> </w:t>
      </w:r>
      <w:r>
        <w:t xml:space="preserve">“</w:t>
      </w:r>
      <w:r>
        <w:t xml:space="preserve">Relocate this provision PPCAS-14 inside the casino lobby. IMPLEMENT OR NOT?</w:t>
      </w:r>
      <w:r>
        <w:t xml:space="preserve">”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Customer to confirm:</w:t>
      </w:r>
      <w:r>
        <w:t xml:space="preserve"> </w:t>
      </w:r>
      <w:r>
        <w:t xml:space="preserve">Implement relocation or retain original PPCAS-14 location.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~5–8 m of trunk cable + ~PHP 30k</w:t>
      </w:r>
    </w:p>
    <w:bookmarkEnd w:id="30"/>
    <w:bookmarkStart w:id="31" w:name="X2b46fc78d35623776d1b16e670d2e37521b2818"/>
    <w:p>
      <w:pPr>
        <w:pStyle w:val="Heading2"/>
      </w:pPr>
      <w:r>
        <w:t xml:space="preserve">Q-012 — Brand approvals for BMS, head-end PCs, and balance-of-plant equipment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Megaworld customer-kb approved-brands list is STUB; awaiting MC Standards Section 9 firm-up.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Customer to confirm:</w:t>
      </w:r>
      <w:r>
        <w:t xml:space="preserve"> </w:t>
      </w:r>
      <w:r>
        <w:t xml:space="preserve">Siemens (BMS DDC + head-end), Dell (server + workstation), open-tier-1 for VFDs/UPS/network — or substitutes.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A-002 — Siemens + Dell defaults.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±5–8% material BOQ swing</w:t>
      </w:r>
    </w:p>
    <w:bookmarkEnd w:id="31"/>
    <w:bookmarkStart w:id="32" w:name="X83779a01525b2c74752794b712862a863b00903"/>
    <w:p>
      <w:pPr>
        <w:pStyle w:val="Heading2"/>
      </w:pPr>
      <w:r>
        <w:t xml:space="preserve">Q-013 — Working hours / site-access constraints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Daytime vs. night vs. shift-restricted affects labor productivity.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A-004 — daytime, no shift restrictions.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~25% labor premium if night work mandated</w:t>
      </w:r>
    </w:p>
    <w:bookmarkEnd w:id="32"/>
    <w:bookmarkStart w:id="33" w:name="Xcc236b33bb2e09b36cb3b9781c7f5d765bb568b"/>
    <w:p>
      <w:pPr>
        <w:pStyle w:val="Heading2"/>
      </w:pPr>
      <w:r>
        <w:t xml:space="preserve">Q-014 — Commercial terms: currency, payment, warranty, retention, taxes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Cover letter is silent on commercial terms.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A-005 — PHP, 30-day, 12-month warranty, 10% retention, 12% VAT.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Retention swing affects working capital; longer warranty affects spare-parts cost</w:t>
      </w:r>
    </w:p>
    <w:bookmarkEnd w:id="33"/>
    <w:bookmarkStart w:id="34" w:name="X9b12df3bcf38ea75926cd4673a9aefaeacc53db"/>
    <w:p>
      <w:pPr>
        <w:pStyle w:val="Heading2"/>
      </w:pPr>
      <w:r>
        <w:t xml:space="preserve">Q-015 — ECE-05 (likely GF Aux) and ECE-06 (likely 2F FDAS) sheets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Sheets are present in the index but not in the PDF; coordination with Aux/FDAS routing typically shares BMS shaft space.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Customer to provide:</w:t>
      </w:r>
      <w:r>
        <w:t xml:space="preserve"> </w:t>
      </w:r>
      <w:r>
        <w:t xml:space="preserve">ECE-05, ECE-06.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Minor — coordination only</w:t>
      </w:r>
    </w:p>
    <w:bookmarkEnd w:id="34"/>
    <w:bookmarkStart w:id="35" w:name="X45a9db8f1d68325ad563533c083173fd11ea9c5"/>
    <w:p>
      <w:pPr>
        <w:pStyle w:val="Heading2"/>
      </w:pPr>
      <w:r>
        <w:t xml:space="preserve">Q-016 — 1-year preventive maintenance scope (option)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Standard option for hospitality projects.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Customer to confirm:</w:t>
      </w:r>
      <w:r>
        <w:t xml:space="preserve"> </w:t>
      </w:r>
      <w:r>
        <w:t xml:space="preserve">Include in base proposal or separate option line.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Offered as option (A-033 covers training only)</w:t>
      </w:r>
    </w:p>
    <w:bookmarkEnd w:id="35"/>
    <w:bookmarkStart w:id="36" w:name="Xf1bc03faaaa42ca553054efd0341fb2b2abbe58"/>
    <w:p>
      <w:pPr>
        <w:pStyle w:val="Heading2"/>
      </w:pPr>
      <w:r>
        <w:t xml:space="preserve">Q-017 — FAT location and witness participation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Why:</w:t>
      </w:r>
      <w:r>
        <w:t xml:space="preserve"> </w:t>
      </w:r>
      <w:r>
        <w:t xml:space="preserve">Drives logistics + customer-rep mobilization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Current assumption:</w:t>
      </w:r>
      <w:r>
        <w:t xml:space="preserve"> </w:t>
      </w:r>
      <w:r>
        <w:t xml:space="preserve">A-034 — Manila workshop, 2 days, customer witness invited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Impact:</w:t>
      </w:r>
      <w:r>
        <w:t xml:space="preserve"> </w:t>
      </w:r>
      <w:r>
        <w:t xml:space="preserve">Off-Manila FAT adds travel cost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2026-04-28T00:00:28Z</dcterms:created>
  <dcterms:modified xsi:type="dcterms:W3CDTF">2026-04-28T00:00:28Z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