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2" w:name="stated-assumptions"/>
    <w:p>
      <w:pPr>
        <w:pStyle w:val="Heading1"/>
      </w:pPr>
      <w:r>
        <w:t xml:space="preserve">07 — Stated Assumptions</w:t>
      </w:r>
    </w:p>
    <w:p>
      <w:pPr>
        <w:pStyle w:val="FirstParagraph"/>
      </w:pPr>
      <w:r>
        <w:t xml:space="preserve">Living ledger. Items move to Confirmed/Retired as the customer answers Q-NNNs.</w:t>
      </w:r>
    </w:p>
    <w:bookmarkStart w:id="20" w:name="active-assumptions"/>
    <w:p>
      <w:pPr>
        <w:pStyle w:val="Heading2"/>
      </w:pPr>
      <w:r>
        <w:t xml:space="preserve">Active assumptions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609"/>
        <w:gridCol w:w="1827"/>
        <w:gridCol w:w="1675"/>
        <w:gridCol w:w="2589"/>
        <w:gridCol w:w="1218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Assumption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Rationale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Impact if wrong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A-001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Project is greenfield (new construction)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Construction Bulletin status; absence of existing-system inventory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±30% (rehab adds demolition + cutover + after-hours work)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Open — Q-018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A-002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BMS scope follows Megaworld MC Standards points list (ME + PL) for the in-scope systems; project-specific BMS-01..04 sheets are schematic confirmation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MC Standards is the readable text source; project sheets are mostly raster and stamp-confirmed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±10% if scope sub-setted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Open — Q-001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A-003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Open BACnet/IP head-end, BACnet MS/TP and Modbus RTU at field; Siemens Desigo CC and PXC family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Default brand standard; no customer override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±15% material if customer prefers another tier-1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Open — Q-013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A-004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Isolated BMS LAN with single uplink to customer LAN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Standard hospitality assumption; no customer IT spec provided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Minor; +cost only if redundant uplinks required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Open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A-005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Guestroom-corridor FCU control points at typical density (3 sample floors × ~30 FCU/floor) — included in BMS scope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Cover letter silent; standard hospitality assumption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+20–30% if every guestroom included; -10% if owner-package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Open — Q-005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A-006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Standard PH commercial terms — PHP currency, 12% VAT, 60–90 day validity, milestone-based payment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commercial terms provided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Minor unless customer dictates retention &gt;10%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Open — Q-014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A-007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FDAS / PMS / CCTV / ACS integration not in base scope; offered as Option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Cover letter silent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+PHP 200–500K each per integration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Open — Q-012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A-008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Network architecture: 1 core 24-port + 4 SFP + edge 8/16-port switches per riser; OM3 fiber riser; 6 IDF closets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Standard medium-tier hotel topology; deferred to A5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±5% on network material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Open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A-009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Schedule: 16 weeks PO → handover (mobilization wk 1, FAT wk 5, install wk 7–13, T&amp;C wk 13–16)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Customer schedule absent; standard greenfield medium tier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+20–30% on PM if shorter required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Open — Q-007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A-010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Day-shift work, no after-hours premium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Greenfield; no occupied 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+10–20% labor if night work required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Open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A-011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Cable jacket: FRLS per PH BFP code (hospitality, fire-rated spaces)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 jurisdiction; standard for hospitality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Minor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Open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A-012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EE Plan and BMS sheets are construction-stage but mostly raster; scale not recoverable from pdftotext extraction. Cable lengths use reasoned typical-ranges (</w:t>
            </w:r>
            <w:r>
              <w:rPr>
                <w:rStyle w:val="VerbatimChar"/>
              </w:rPr>
              <w:t xml:space="preserve">A3-route-lengths.yaml.typical_ranges:</w:t>
            </w:r>
            <w:r>
              <w:t xml:space="preserve">) — measurement deferred to shop-drawing stage. Triage acknowledges drawings are present but not pixel-measurable in this run.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Per measure-cable-routes sub-routine fallback rule (3)</w:t>
            </w:r>
            <w:r>
              <w:t xml:space="preserve"> </w:t>
            </w:r>
            <w:r>
              <w:t xml:space="preserve">“</w:t>
            </w:r>
            <w:r>
              <w:t xml:space="preserve">Scale unrecoverable</w:t>
            </w:r>
            <w:r>
              <w:t xml:space="preserve">”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±15% on cable BOQ; refines at shop-drawing review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Open — Q-005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A-013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Operator training: 16 hours over 2 days, up to 6 operators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Standard for hospitality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Minor; Q-015 confirms exact ask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Open — Q-015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A-014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Maintenance contract not in base scope; offered as Option (1-year PM)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Standard for proposal scope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Open — Q-016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A-015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Trend-log strategy: hospitality standard — 100% AI/AO/DO, 30% DI, 70% HLI. Reasoned in</w:t>
            </w:r>
            <w:r>
              <w:t xml:space="preserve"> </w:t>
            </w:r>
            <w:r>
              <w:rPr>
                <w:rStyle w:val="VerbatimChar"/>
              </w:rPr>
              <w:t xml:space="preserve">B1-trend-strategy.yaml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Hospitality is comfort/energy-driven, not regulated like healthcare/casino; status DIs are abundant but rarely useful as trends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Minor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Open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A-016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I/O module spare strategy: 25% AI, 25% AO, 15% DI, 15% DO. Reasoned in</w:t>
            </w:r>
            <w:r>
              <w:t xml:space="preserve"> </w:t>
            </w:r>
            <w:r>
              <w:rPr>
                <w:rStyle w:val="VerbatimChar"/>
              </w:rPr>
              <w:t xml:space="preserve">A3-cable-spec-rules.yaml.spare_strategy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Mature design (Construction Bulletin status) but field counts likely to firm during shop-drawing; AI/AO higher reserve for control-loop tuning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Minor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Open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A-017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Conduit fraction = 35% of total cable. Greenfield with co-installation in ME-supplied tray for the trunk; BMS-installed conduit on field-device drops.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Reasoned in</w:t>
            </w:r>
            <w:r>
              <w:t xml:space="preserve"> </w:t>
            </w:r>
            <w:r>
              <w:rPr>
                <w:rStyle w:val="VerbatimChar"/>
              </w:rPr>
              <w:t xml:space="preserve">B4-site-factors.yaml.conduit_fraction_basis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±2% on labor BOQ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Open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Production-rate modifier 1.0× (greenfield, day-shift, unoccupied site)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Standard greenfield site condition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±10–20% if night work needed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Open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A-019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Commercial: overhead-and-margin 18%, contingency 6%, VAT 12%. Reasoned in</w:t>
            </w:r>
            <w:r>
              <w:t xml:space="preserve"> </w:t>
            </w:r>
            <w:r>
              <w:rPr>
                <w:rStyle w:val="VerbatimChar"/>
              </w:rPr>
              <w:t xml:space="preserve">06-commercial-rates.yaml</w:t>
            </w:r>
            <w:r>
              <w:t xml:space="preserve"> </w:t>
            </w:r>
            <w:r>
              <w:t xml:space="preserve">— greenfield clear-scope, drawings stable, low scope risk warrants tighter contingency than the 7.5% legacy default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Risk register low; Construction Bulletin = mature design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±2–3% on grand total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Open</w:t>
            </w:r>
          </w:p>
        </w:tc>
      </w:tr>
    </w:tbl>
    <w:bookmarkEnd w:id="20"/>
    <w:bookmarkStart w:id="21" w:name="retired-assumptions"/>
    <w:p>
      <w:pPr>
        <w:pStyle w:val="Heading2"/>
      </w:pPr>
      <w:r>
        <w:t xml:space="preserve">Retired assumptions</w:t>
      </w:r>
    </w:p>
    <w:p>
      <w:pPr>
        <w:pStyle w:val="FirstParagraph"/>
      </w:pPr>
      <w:r>
        <w:t xml:space="preserve">(None — first run.)</w:t>
      </w:r>
    </w:p>
    <w:bookmarkEnd w:id="21"/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2026-04-27T23:44:50Z</dcterms:created>
  <dcterms:modified xsi:type="dcterms:W3CDTF">2026-04-27T23:44:50Z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