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customer-clarifications-rfi-list"/>
    <w:p>
      <w:pPr>
        <w:pStyle w:val="Heading1"/>
      </w:pPr>
      <w:r>
        <w:t xml:space="preserve">08 — Customer Clarifications (RFI List)</w:t>
      </w:r>
    </w:p>
    <w:p>
      <w:pPr>
        <w:pStyle w:val="FirstParagraph"/>
      </w:pPr>
      <w:r>
        <w:t xml:space="preserve">This proposal is based on the documents you provided. The items below would refine pricing and schedule. Items marked</w:t>
      </w:r>
      <w:r>
        <w:t xml:space="preserve"> </w:t>
      </w:r>
      <w:r>
        <w:rPr>
          <w:bCs/>
          <w:b/>
        </w:rPr>
        <w:t xml:space="preserve">P1</w:t>
      </w:r>
      <w:r>
        <w:t xml:space="preserve"> </w:t>
      </w:r>
      <w:r>
        <w:t xml:space="preserve">materially affect price; please prioritize those.</w:t>
      </w:r>
    </w:p>
    <w:bookmarkStart w:id="20" w:name="cover-note"/>
    <w:p>
      <w:pPr>
        <w:pStyle w:val="Heading2"/>
      </w:pPr>
      <w:r>
        <w:t xml:space="preserve">Cover note</w:t>
      </w:r>
    </w:p>
    <w:p>
      <w:pPr>
        <w:pStyle w:val="FirstParagraph"/>
      </w:pPr>
      <w:r>
        <w:t xml:space="preserve">In preparing our proposal for the Kingsford Hotel Bacolod BMS, we identified the items below as needing clarification. Items marked</w:t>
      </w:r>
      <w:r>
        <w:t xml:space="preserve"> </w:t>
      </w:r>
      <w:r>
        <w:rPr>
          <w:bCs/>
          <w:b/>
        </w:rPr>
        <w:t xml:space="preserve">P1</w:t>
      </w:r>
      <w:r>
        <w:t xml:space="preserve"> </w:t>
      </w:r>
      <w:r>
        <w:t xml:space="preserve">materially affect pricing and schedule and should be answered first. Each question states the default we have used in our base proposal; your answers refine the proposal and may reduce contingency.</w:t>
      </w:r>
    </w:p>
    <w:bookmarkEnd w:id="20"/>
    <w:bookmarkStart w:id="21" w:name="open-items"/>
    <w:p>
      <w:pPr>
        <w:pStyle w:val="Heading2"/>
      </w:pPr>
      <w:r>
        <w:t xml:space="preserve">Open items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80"/>
        <w:gridCol w:w="1200"/>
        <w:gridCol w:w="1440"/>
        <w:gridCol w:w="1200"/>
        <w:gridCol w:w="2520"/>
        <w:gridCol w:w="10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Discipline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in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full list of BMS-monitored systems for this hotel. Are all Megaworld MC Standards systems (ME + PL) in scope, or a sub-set?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MC Standards systems for the floors covered by the BMS-01..04 sheets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A1, A2, BOQ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 guestroom-level HVAC controls (FCU per guestroom) in BMS scope, or part of a separate fit-out / owner package?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scope at typical density (sample floors only — not per-room)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A1, A2, A3, BOQ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is the required completion date / project duration?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 weeks PO → handover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D1, D2, mobilization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cover letter says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 </w:t>
            </w:r>
            <w:r>
              <w:t xml:space="preserve">but the technical drawings are Construction Bulletins (new construction). Confirm classification.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Greenfield (per technical docs)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Whole proposal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integration with FDAS, PMS, CCTV, or ACS required in this scope?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in base scope; each available as Option (PHP 200–500K)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7.x options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acceptable BMS brand list. Default: Siemens (Desigo PXC / Desigo CC / 7KM PAC) for BMS components and Dell PowerEdge / OptiPlex / Precision for head-end PCs.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default brand standards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A2, A6, BOQ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payment terms, retention %, taxes, currency.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PHP, 12% VAT, retention 10%, milestone-based 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06 commercial summary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 training duration and number of attendees.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 hours, 2 days, up to 6 operators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a 1-year preventive-maintenance contract requested with this proposal?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Optional, priced separately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 Plan was provided as a Construction Bulletin set (raster). Provide CAD or scaled PDF for cable-route measurement at shop-drawing stage.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Lengths use reasoned typical-ranges per A3-route-lengths.yaml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architectural floor plans (corridors, ceiling voids, riser shafts) for cable-route measurement.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as above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panel-board IDs and circuit assignments for the 25 dedicated 240V single-phase circuits to BMS panels and the head-end UPS.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A7 schedule (placeholder circuit IDs)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the BMS uplink lands on a dedicated VLAN on the customer LAN or remains fully isolated.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Isolated LAN with single uplink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Per-guestroom FCU count per floor — confirm number of guestrooms per typical floor and zoning approach.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3 floors × 30 FCU/floor at typical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A2, A3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Smoke control / kitchen exhaust interlocks — in BMS scope?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monitoring only; no automated suppression interlock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Energy-savings algorithms required (chiller plant sequencing, demand control, peak shaving)?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Pre-engineered set included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BMS administrator (vs. operator) seats; remote-access required?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admin, 2 operator workstations, 1 graphics PC; no remote access in base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warranty period.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year on workmanship + 1 year on equipment per supplier warranty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Power-meter scope: confirm number and class (main vs. sub-feeder).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main + 10 sub-feeder = 13 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A2, 2.6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number of BTU meters and chiller-side BACnet integration availability.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plant-level BTU meter; chillers have BACnet IP cards (per typical)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</w:t>
            </w:r>
          </w:p>
        </w:tc>
      </w:tr>
    </w:tbl>
    <w:p>
      <w:pPr>
        <w:pStyle w:val="BodyText"/>
      </w:pPr>
      <w:r>
        <w:t xml:space="preserve">Total: 19 active questions (4 P1, 9 P2, 6 P3).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2026-04-27T23:44:50Z</dcterms:created>
  <dcterms:modified xsi:type="dcterms:W3CDTF">2026-04-27T23:44:50Z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