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assumption-ledger"/>
    <w:p>
      <w:pPr>
        <w:pStyle w:val="Heading1"/>
      </w:pPr>
      <w:r>
        <w:t xml:space="preserve">07 — Assumption Ledger</w:t>
      </w:r>
    </w:p>
    <w:p>
      <w:pPr>
        <w:pStyle w:val="FirstParagraph"/>
      </w:pPr>
      <w:r>
        <w:rPr>
          <w:bCs/>
          <w:b/>
        </w:rPr>
        <w:t xml:space="preserve">Project:</w:t>
      </w:r>
      <w:r>
        <w:t xml:space="preserve"> </w:t>
      </w:r>
      <w:r>
        <w:t xml:space="preserve">Kingsford Hotel Bacolod — BMS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living document — updated through phases.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28"/>
        <w:gridCol w:w="1452"/>
        <w:gridCol w:w="1452"/>
        <w:gridCol w:w="2376"/>
        <w:gridCol w:w="211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if wrong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 / phase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 is</w:t>
            </w:r>
            <w:r>
              <w:t xml:space="preserve"> </w:t>
            </w:r>
            <w:r>
              <w:rPr>
                <w:bCs/>
                <w:b/>
              </w:rPr>
              <w:t xml:space="preserve">greenfield (new construction)</w:t>
            </w:r>
            <w:r>
              <w:t xml:space="preserve"> </w:t>
            </w:r>
            <w:r>
              <w:t xml:space="preserve">despite cover-letter wording</w:t>
            </w:r>
            <w:r>
              <w:t xml:space="preserve"> </w:t>
            </w:r>
            <w:r>
              <w:t xml:space="preserve">“</w:t>
            </w:r>
            <w:r>
              <w:t xml:space="preserve">Rehabilitation</w:t>
            </w:r>
            <w:r>
              <w:t xml:space="preserve">”</w:t>
            </w:r>
            <w:r>
              <w:t xml:space="preserve">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Technical inputs are Construction Bulletins against a</w:t>
            </w:r>
            <w:r>
              <w:t xml:space="preserve"> </w:t>
            </w:r>
            <w:r>
              <w:t xml:space="preserve">“</w:t>
            </w:r>
            <w:r>
              <w:t xml:space="preserve">For Construction</w:t>
            </w:r>
            <w:r>
              <w:t xml:space="preserve">”</w:t>
            </w:r>
            <w:r>
              <w:t xml:space="preserve"> </w:t>
            </w:r>
            <w:r>
              <w:t xml:space="preserve">set, no existing-system inventory, kitchen-layout adjustments. Phase 2 triangulation.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High. Rehab classification would add demolition takeoff, after-hours premiums, cable-reuse evaluation (~₱2–4M cost addition).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 / Q-001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Guestroom-floor footprint</w:t>
            </w:r>
            <w:r>
              <w:t xml:space="preserve"> </w:t>
            </w:r>
            <w:r>
              <w:t xml:space="preserve">= ~60 m × 50 m typical floorplate; ~25–35 guestrooms per typical guest floor;</w:t>
            </w:r>
            <w:r>
              <w:t xml:space="preserve"> </w:t>
            </w:r>
            <w:r>
              <w:rPr>
                <w:bCs/>
                <w:b/>
              </w:rPr>
              <w:t xml:space="preserve">~10 guest floors above L3</w:t>
            </w:r>
            <w:r>
              <w:t xml:space="preserve">, plus roofdeck.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EE-24 Part 1 only shows Basement↔3F; MC Standards references</w:t>
            </w:r>
            <w:r>
              <w:t xml:space="preserve"> </w:t>
            </w:r>
            <w:r>
              <w:t xml:space="preserve">“</w:t>
            </w:r>
            <w:r>
              <w:t xml:space="preserve">Roof Deck Level (Guest Room Levels)</w:t>
            </w:r>
            <w:r>
              <w:t xml:space="preserve">”</w:t>
            </w:r>
            <w:r>
              <w:t xml:space="preserve">; project-scale tier (Medium) and Bacolod hotel comparables.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Medium. ±20% on guestroom-floor field-device count and corridor cable runs.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 Q-005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Equipment counts per system class</w:t>
            </w:r>
            <w:r>
              <w:t xml:space="preserve"> </w:t>
            </w:r>
            <w:r>
              <w:t xml:space="preserve">follow MC Standards typical density × project zoning on BMS-01/02 (e.g., 1× DOAS per floor band, 1× PAHU per landlord-zone, 1× AHU per public area).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Mechanical layouts not in inputs; standard developer practice.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Medium. ±15% on A2 takeoff.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 Q-006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Full EE drawing set is consistent with CB#8</w:t>
            </w:r>
            <w:r>
              <w:t xml:space="preserve"> </w:t>
            </w:r>
            <w:r>
              <w:t xml:space="preserve">(no contradictions on non-bulletin sheets).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Only revised sheets supplied; latest-issued plan governs.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Low. Revisions affect kitchen power, not BMS bus.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 Q-007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Upper-floor riser geometry mirrors typical hotel pattern</w:t>
            </w:r>
            <w:r>
              <w:t xml:space="preserve"> </w:t>
            </w:r>
            <w:r>
              <w:t xml:space="preserve">— single trunk shaft, 1× cable tray per floor for BMS bus + power, ~3.5 m floor-to-floor.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EE-24 Part 2 missing; standard high-rise hotel construction.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Medium. ±15% on inter-floor riser cable lengths.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 Q-008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BMS-01/02/03 is the complete project-specific BMS sheet set.</w:t>
            </w:r>
            <w:r>
              <w:t xml:space="preserve"> </w:t>
            </w:r>
            <w:r>
              <w:t xml:space="preserve">Hot-water-distribution and in-guestroom BMS scope is</w:t>
            </w:r>
            <w:r>
              <w:t xml:space="preserve"> </w:t>
            </w:r>
            <w:r>
              <w:rPr>
                <w:iCs/>
                <w:i/>
              </w:rPr>
              <w:t xml:space="preserve">not</w:t>
            </w:r>
            <w:r>
              <w:t xml:space="preserve"> </w:t>
            </w:r>
            <w:r>
              <w:t xml:space="preserve">included unless added by addendum.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Only 3 sheets in inputs; no BMS-04 referenced.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Medium. Could re-scope hot-water and guest-floor BMS.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 Q-002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BMS-panel power feed</w:t>
            </w:r>
            <w:r>
              <w:t xml:space="preserve"> </w:t>
            </w:r>
            <w:r>
              <w:t xml:space="preserve">= 1× 20 A, 230 V, 1-phase circuit per BMS panel, supplied and terminated by EE Contractor at a knife-disconnect; BMS Contractor terminates downstream.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BMS feeder named on EE-21/22/23; standard practice.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Low. Power-provision section only.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 Q-009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Customer GUI / graphics standard</w:t>
            </w:r>
            <w:r>
              <w:t xml:space="preserve"> </w:t>
            </w:r>
            <w:r>
              <w:t xml:space="preserve">per BMS general spec on BMS-01 (per-floor graphics, per-system graphics, summary dashboards, alarm console, trend logs).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separate GUI standard in inputs; spec already covers GUI requirements.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Low. Refines B2 graphics list.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FAT/SAT protocol</w:t>
            </w:r>
            <w:r>
              <w:t xml:space="preserve"> </w:t>
            </w:r>
            <w:r>
              <w:t xml:space="preserve">per industry standard form (Megaworld-equivalent template), with point-by-point sign-off, PDF as-built, owner manual binders.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protocol in inputs.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Low. Scope already inclusive.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Training</w:t>
            </w:r>
            <w:r>
              <w:t xml:space="preserve"> </w:t>
            </w:r>
            <w:r>
              <w:t xml:space="preserve">= 2-day operator-level + 1-day admin/super-user, on-site at handover; 6 trainees × 1 batch.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stated; standard inclusion.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Low. Optional row in BOQ.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 Q-016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M&amp;O after handover</w:t>
            </w:r>
            <w:r>
              <w:t xml:space="preserve"> </w:t>
            </w:r>
            <w:r>
              <w:t xml:space="preserve">= priced as a 1-year preventive maintenance option (4× scheduled visits, 1× annual deep service, 24/7 phone support).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stated; offered standalone.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Low. Optional.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 Q-017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Drawing scale calibration</w:t>
            </w:r>
            <w:r>
              <w:t xml:space="preserve"> </w:t>
            </w:r>
            <w:r>
              <w:t xml:space="preserve">= column grid bay ≈ 7.5 m on EE-03/06/09/12 (mid-range of 6–9 m structural-grid hotel/casino bays).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explicit scale bar; structural grid recoverable from layouts.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Low–Medium. ±10% on measured cable lengths.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</w:t>
            </w:r>
            <w:r>
              <w:t xml:space="preserve"> </w:t>
            </w:r>
            <w:r>
              <w:rPr>
                <w:rStyle w:val="VerbatimChar"/>
              </w:rPr>
              <w:t xml:space="preserve">measure-cable-routes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Head-end / server location</w:t>
            </w:r>
            <w:r>
              <w:t xml:space="preserve"> </w:t>
            </w:r>
            <w:r>
              <w:t xml:space="preserve">in a central control room on Basement 1 or GF (TBD in coordination); BMS LAN as a standalone backbone with single uplink for off-network reporting.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room marked; standard hotel BMS pattern.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Low. Affects A5/A6 narrative only.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 Q-011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Project schedule</w:t>
            </w:r>
            <w:r>
              <w:t xml:space="preserve"> </w:t>
            </w:r>
            <w:r>
              <w:t xml:space="preserve">= 8 months end-to-end (engineering 8 wk, supply lead 12 wk paralleling, install 16 wk, T&amp;C 8 wk, training/handover 2 wk).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customer schedule stated.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Medium. Drives D1/D2/B4 productivity.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 Q-013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Commercial terms</w:t>
            </w:r>
            <w:r>
              <w:t xml:space="preserve"> </w:t>
            </w:r>
            <w:r>
              <w:t xml:space="preserve">= 12-month warranty after substantial completion; 30/30/30/10 progress payment; 10% retention released at handover; 12% VAT-inclusive; LD 0.1%/day to cap 10%; no escalation.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Industry-standard defaults; not stated.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Variable — affects pricing/cashflow.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 Q-014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Casino BMS</w:t>
            </w:r>
            <w:r>
              <w:t xml:space="preserve"> </w:t>
            </w:r>
            <w:r>
              <w:t xml:space="preserve">scope (BMS-02 tabulation) is included in BMS Contractor scope (Casino is part of the Kingsford property, not a separate fit-out).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 proposal request; Casino I/O on the same project-specific points list.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Medium. Could split if Casino is a separate operator.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/ Q-003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Fire alarm / security / IT integration</w:t>
            </w:r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Cs/>
                <w:b/>
              </w:rPr>
              <w:t xml:space="preserve">excluded</w:t>
            </w:r>
            <w:r>
              <w:t xml:space="preserve"> </w:t>
            </w:r>
            <w:r>
              <w:t xml:space="preserve">from BMS scope — BMS-only HLI to power-meter consumption (per points list), no FDAS/CCTV/access tie-in unless requested.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in points list; standard BMS-Contractor scope.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Low. Listed as exclusion.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Power monitoring</w:t>
            </w:r>
            <w:r>
              <w:t xml:space="preserve"> </w:t>
            </w:r>
            <w:r>
              <w:t xml:space="preserve">scope = HLI to existing EE meters / sub-meters where Modbus-equipped; no additional power-meter supply by BMS Contractor.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split per MC Standards C/O (Equipment Supplier provides meters; BMS reads HLI).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Low. Scope clarity only.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Containment</w:t>
            </w:r>
            <w:r>
              <w:t xml:space="preserve"> </w:t>
            </w:r>
            <w:r>
              <w:t xml:space="preserve">(cable tray + conduit) supplied and installed by</w:t>
            </w:r>
            <w:r>
              <w:t xml:space="preserve"> </w:t>
            </w:r>
            <w:r>
              <w:rPr>
                <w:bCs/>
                <w:b/>
              </w:rPr>
              <w:t xml:space="preserve">BMS Contractor</w:t>
            </w:r>
            <w:r>
              <w:t xml:space="preserve"> </w:t>
            </w:r>
            <w:r>
              <w:t xml:space="preserve">for BMS-cabling backbone; trunk-tray sharing with other low-voltage allowed where approved.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Contractor scope per</w:t>
            </w:r>
            <w:r>
              <w:t xml:space="preserve"> </w:t>
            </w:r>
            <w:r>
              <w:t xml:space="preserve">“</w:t>
            </w:r>
            <w:r>
              <w:t xml:space="preserve">Complete Supply, Delivery, Installation</w:t>
            </w:r>
            <w:r>
              <w:t xml:space="preserve">”</w:t>
            </w:r>
            <w:r>
              <w:t xml:space="preserve">; consistent with module</w:t>
            </w:r>
            <w:r>
              <w:t xml:space="preserve"> </w:t>
            </w:r>
            <w:r>
              <w:rPr>
                <w:rStyle w:val="VerbatimChar"/>
              </w:rPr>
              <w:t xml:space="preserve">cabling-and-containment.md</w:t>
            </w:r>
            <w:r>
              <w:t xml:space="preserve">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Medium. ±10% on installation labour.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A-020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Rate library</w:t>
            </w:r>
            <w:r>
              <w:t xml:space="preserve"> </w:t>
            </w:r>
            <w:r>
              <w:t xml:space="preserve">=</w:t>
            </w:r>
            <w:r>
              <w:t xml:space="preserve"> </w:t>
            </w:r>
            <w:r>
              <w:rPr>
                <w:rStyle w:val="VerbatimChar"/>
              </w:rPr>
              <w:t xml:space="preserve">_playbook/checklists/standard-pricing-defaults.yaml</w:t>
            </w:r>
            <w:r>
              <w:t xml:space="preserve"> </w:t>
            </w:r>
            <w:r>
              <w:t xml:space="preserve">PHP rates with typical 15% spare for cabling and 10% spare for I/O.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rate library; no project-specific quotes received.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Variable — to be refined post-RFQ.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6</w:t>
            </w:r>
          </w:p>
        </w:tc>
      </w:tr>
    </w:tbl>
    <w:p>
      <w:pPr>
        <w:pStyle w:val="BodyText"/>
      </w:pPr>
      <w:r>
        <w:t xml:space="preserve">(Additional A-NNN added through Phase 5–10.)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2026-04-27T22:22:34Z</dcterms:created>
  <dcterms:modified xsi:type="dcterms:W3CDTF">2026-04-27T22:22:34Z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