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customer-clarifications-rfi-list"/>
    <w:p>
      <w:pPr>
        <w:pStyle w:val="Heading1"/>
      </w:pPr>
      <w:r>
        <w:t xml:space="preserve">08 — Customer Clarifications (RFI list)</w:t>
      </w:r>
    </w:p>
    <w:p>
      <w:pPr>
        <w:pStyle w:val="FirstParagraph"/>
      </w:pPr>
      <w:r>
        <w:rPr>
          <w:bCs/>
          <w:b/>
        </w:rPr>
        <w:t xml:space="preserve">Project:</w:t>
      </w:r>
      <w:r>
        <w:t xml:space="preserve"> </w:t>
      </w:r>
      <w:r>
        <w:t xml:space="preserve">Kingsford Hotel Bacolod — BMS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living document — populated through phases.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86"/>
        <w:gridCol w:w="1466"/>
        <w:gridCol w:w="1320"/>
        <w:gridCol w:w="3080"/>
        <w:gridCol w:w="146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Affects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scope intent — cover letter says</w:t>
            </w:r>
            <w:r>
              <w:t xml:space="preserve"> </w:t>
            </w:r>
            <w:r>
              <w:t xml:space="preserve">“</w:t>
            </w:r>
            <w:r>
              <w:t xml:space="preserve">Rehabilitation</w:t>
            </w:r>
            <w:r>
              <w:t xml:space="preserve">”</w:t>
            </w:r>
            <w:r>
              <w:t xml:space="preserve"> </w:t>
            </w:r>
            <w:r>
              <w:t xml:space="preserve">but technical inputs (CB#8, BMS Construction Bulletin Oct 2025) read as new construction. Is the BMS scope greenfield or rehab?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 classification + entire pricing basis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A-001 (greenfield)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 there a BMS-04 sheet (or beyond) for hot-water-distribution / guest-floor in-unit BMS that hasn’t been issued? Or is BMS-01/02/03 the complete project set?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A1 I/O list, A2 takeoff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 Casino BMS (BMS-02) included in BMS Contractor scope, or contracted separately by Casino tenant/operator?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Scope, BOQ, commercials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A-016 (included)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Architectural floor plans — especially guestroom floors (4F and above) — please provide. Or confirm guestroom floor count &amp; typical floorplate.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A2, A3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A-002 (~10 guest floors, ~60 × 50 m)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Mechanical (HVAC duct/pipe) and Plumbing layout drawings — to confirm equipment counts per zone.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A-003 (typical density × points-list zones)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Electrical drawing set — only CB#8 revisions provided. Please send latest issued EE set including main one-line diagram.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A7 + cross-check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A-004 (consistent)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EE-24 Part 2 of 2 (upper-floor riser) — please provide.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A3 (riser cables 4F+)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A-005 (typical hotel riser)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BMS-panel power-feed assignments in EE schedule — no BMS feeders named on EE-21/22/23.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A-007 (1× 20 A, 230 V, 1-phase per panel)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Head-end / server room location — please confirm intended siting (Basement 1 control room, GF, or other).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A5, A6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A-013 (central control room TBD)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 Fire-Alarm / Security / Access / IT integration part of BMS Contractor scope?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Scope, exclusions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A-017 (excluded — BMS-only with optional Modbus power-meter HLI)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 schedule — required completion / substantial-completion date and any milestone constraints (e.g., chiller-room ready-for-T&amp;C date).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D1, D2, B4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A-014 (8-month BMS scope)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 terms — warranty period, payment milestone schedule, retention %, LDs, tax handling, currency.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10-proposal commercial section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A-015 (industry-standard defaults)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Currency confirmation — proposal in PHP unless otherwise advised.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A-015 (PHP)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Training — confirm scope (operator + admin + super-user, batch size, duration).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Training module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A-010 (2-day operator + 1-day admin)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M&amp;O after handover — required as base scope or priced option?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A-011 (priced option)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Customer GUI / graphics standard — does Megaworld have a specific GUI mock-up or branding guideline?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B2 graphics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A-008 (per BMS-01 spec)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FAT / SAT protocol — does Megaworld have a standard form?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T&amp;C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A-009 (industry standard)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Power-meter integration — confirm which EE meters/sub-meters are Modbus-equipped vs. pulse-only.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A1 (HLI rows), A7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A-018 (Modbus-only HLI; no meter supply)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Q-021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Containment scope — confirm BMS Contractor supplies all cable tray + conduit for BMS-cabling backbone, or share-with-other-LV trunks where approved.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A3, B4, BOQ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A-019 (BMS Contractor scope; sharing allowed where approved)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</w:tr>
    </w:tbl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2026-04-27T22:22:34Z</dcterms:created>
  <dcterms:modified xsi:type="dcterms:W3CDTF">2026-04-27T22:22:34Z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