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0" w:name="assumption-ledger-consolidated-phase-7"/>
    <w:p>
      <w:pPr>
        <w:pStyle w:val="Heading1"/>
      </w:pPr>
      <w:r>
        <w:t xml:space="preserve">07 — Assumption Ledger (consolidated, Phase 7)</w:t>
      </w:r>
    </w:p>
    <w:p>
      <w:pPr>
        <w:pStyle w:val="FirstParagraph"/>
      </w:pPr>
      <w:r>
        <w:rPr>
          <w:bCs/>
          <w:b/>
        </w:rPr>
        <w:t xml:space="preserve">Status (as of 2026-04-28):</w:t>
      </w:r>
      <w:r>
        <w:t xml:space="preserve"> </w:t>
      </w:r>
      <w:r>
        <w:t xml:space="preserve">15 assumptions tracked.</w:t>
      </w:r>
      <w:r>
        <w:t xml:space="preserve"> </w:t>
      </w:r>
      <w:r>
        <w:rPr>
          <w:bCs/>
          <w:b/>
        </w:rPr>
        <w:t xml:space="preserve">0 confirmed</w:t>
      </w:r>
      <w:r>
        <w:t xml:space="preserve">,</w:t>
      </w:r>
      <w:r>
        <w:t xml:space="preserve"> </w:t>
      </w:r>
      <w:r>
        <w:rPr>
          <w:bCs/>
          <w:b/>
        </w:rPr>
        <w:t xml:space="preserve">15 open</w:t>
      </w:r>
      <w:r>
        <w:t xml:space="preserve">,</w:t>
      </w:r>
      <w:r>
        <w:t xml:space="preserve"> </w:t>
      </w:r>
      <w:r>
        <w:rPr>
          <w:bCs/>
          <w:b/>
        </w:rPr>
        <w:t xml:space="preserve">0 retired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High-impact-if-wrong (&gt;±10% cost or schedule):</w:t>
      </w:r>
      <w:r>
        <w:t xml:space="preserve"> </w:t>
      </w:r>
      <w:r>
        <w:t xml:space="preserve">A-001 (cable lengths), A-006 (schedule), A-008 (cutover), A-009 (cable reuse), A-010 (chiller count), A-011 (panel count). Each has a corresponding Q-NNN.</w:t>
      </w:r>
    </w:p>
    <w:p>
      <w:pPr>
        <w:pStyle w:val="BodyText"/>
      </w:pPr>
      <w:r>
        <w:rPr>
          <w:bCs/>
          <w:b/>
        </w:rPr>
        <w:t xml:space="preserve">Assumptions promoted to Q-NNN customer clarifications:</w:t>
      </w:r>
      <w:r>
        <w:t xml:space="preserve"> </w:t>
      </w:r>
      <w:r>
        <w:t xml:space="preserve">A-001→Q-006; A-002→Q-005; A-003→Q-008; A-004→Q-004; A-005→standard terms; A-006→Q-010; A-008/A-009→Q-009; A-010→Q-007; A-015→implicit (small impact).</w:t>
      </w:r>
    </w:p>
    <w:p>
      <w:pPr>
        <w:pStyle w:val="BodyText"/>
      </w:pPr>
      <w:r>
        <w:rPr>
          <w:bCs/>
          <w:b/>
        </w:rPr>
        <w:t xml:space="preserve">Top 10 to cite in proposal narrative (per Phase 10):</w:t>
      </w:r>
      <w:r>
        <w:t xml:space="preserve"> </w:t>
      </w:r>
      <w:r>
        <w:t xml:space="preserve">A-001, A-003, A-004, A-005, A-006, A-008, A-009, A-010, A-011, A-013.</w:t>
      </w:r>
    </w:p>
    <w:p>
      <w:pPr>
        <w:pStyle w:val="BodyText"/>
      </w:pPr>
      <w:r>
        <w:t xml:space="preserve">Every assumption made during proposal generation is logged here. Each row carries an ID, the assumption itself, the rationale, and the impact if wrong.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736"/>
        <w:gridCol w:w="2026"/>
        <w:gridCol w:w="2026"/>
        <w:gridCol w:w="3131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Assumption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Rationale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Impact if wrong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Average BMS field-device cable run = 30 m for guest-room/equipment-floor devices, 60 m for plant-room devices, 120 m for trunk between panels and head-end. Cable reuse from existing BMS = none (full new pull).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floor plans provided. Heuristic from prior BMS-rehab hotel projects of similar footprint (≈ 4–6-storey podium + roofdeck).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Cable BOQ ±15%; T&amp;C labor ±5%.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Electrical-side BMS scope = power metering at: 1× incoming transformer main, 1× generator, 1× ATS, plus dry contacts from MCC/MDP feeders for major plant (chiller plant ×3, cooling tower ×2, boiler ×2, fire pump ×1). No lighting integration in BMS scope.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TUEC sheets do not include EE points; assumed Megaworld baseline equivalent for hospitality. EE-CB#8 SLD revisions confirm power infrastructure exists.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Adds/removes ~30–60 EE points depending on customer’s actual EE monitoring strategy. ±2% BOQ.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BMS network = isolated managed BMS LAN (1× core L3 switch + edge switches per riser closet) with a single firewalled uplink to the customer’s IT LAN for graphics/dashboards. No PMS / FLS / CCTV / ACS integration in v1.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DRC-004 narrative does not specify integration; standard hospitality-BMS practice.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If integrations are required, add 1 line item per integration (~PHP 80–250k each).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Controller / head-end family = open-protocol BACnet/IP with field-bus mix of BACnet MS/TP and Modbus RTU as required by equipment supplier interface. Tier-1 brands acceptable: Honeywell, Siemens, Schneider, JCI, Distech.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DRC-004 says</w:t>
            </w:r>
            <w:r>
              <w:t xml:space="preserve"> </w:t>
            </w:r>
            <w:r>
              <w:t xml:space="preserve">“</w:t>
            </w:r>
            <w:r>
              <w:t xml:space="preserve">open protocol</w:t>
            </w:r>
            <w:r>
              <w:t xml:space="preserve">”</w:t>
            </w:r>
            <w:r>
              <w:t xml:space="preserve"> </w:t>
            </w:r>
            <w:r>
              <w:t xml:space="preserve">type wording in BMS-01 narrative. No vendor mandate.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Vendor-driven price band ±10–20%.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Commercial terms = standard local market (PHP, 12-month DLP from beneficial occupancy, 10% retention released at end of DLP, milestone billing, 12% VAT inclusive in proposal price, 1% LD per week capped at 10% of contract value).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 stated.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Term-driven adjustments handled at negotiation.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Project duration = 14 weeks from mobilization to commissioning sign-off (Medium-tier hospitality BMS heuristic).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 stated.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Schedule risk → manpower loading curve flexibility.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Working hours = standard 8h/day, 6 days/week + 1 night/week (4-hour window) for cutover-sensitive work in occupied/handover-imminent areas.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 stated; conservative for</w:t>
            </w:r>
            <w:r>
              <w:t xml:space="preserve"> </w:t>
            </w:r>
            <w:r>
              <w:t xml:space="preserve">“</w:t>
            </w:r>
            <w:r>
              <w:t xml:space="preserve">rehab</w:t>
            </w:r>
            <w:r>
              <w:t xml:space="preserve">”</w:t>
            </w:r>
            <w:r>
              <w:t xml:space="preserve"> </w:t>
            </w:r>
            <w:r>
              <w:t xml:space="preserve">risk.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After-hours surcharge ±3% of installation labor.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Cutover phasing = zone-by-zone (Basement BOH → 2F Casino MVAC → Hotel Roofdeck) with no system-wide outage. Each zone has 24-hour fallback to manual control.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Rehab default; needs confirmation if existing BMS is operational.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If a single big-bang cutover is required, T&amp;C compresses to 1 week + adds 20% premium.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A-009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Existing field cabling and trunk = 100% replaced (no reuse).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Conservative rehab default; no survey to confirm reuse viability.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If 30% of trunk reusable (common after survey), cable BOQ saves ~PHP 200–400k.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Number of chillers = 3 (assumed standard 3-chiller plant for medium-tier hospitality on this site footprint).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Chiller count not visible in extracted TUEC tiles. CHW/COW pump count and DRC-004 narrative imply multi-chiller.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Each additional chiller = 30 monitored points + 1 controller slot.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Panel population: 1× MCP (main control panel) at 2nd-Level Plant Room (chiller/CHW), 1× FCP at Roofdeck (cooling tower + DOAS-RD + PAHU-RD), 1× FCP at Basement (boiler + calorifiers + Lower-Ground HW), 1× FCP at GF (BOH AHU + GF exhaust), 1× FCP at 2F (Casino MVAC + 2F BOH AHU), 1× FCP at 3F Amenity (3F exhaust + amenity AHU). 6 panels total.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Equipment distribution per TUEC zones (Basement-Podium BOH; Casino MVAC; Hotel &amp; Roofdeck).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Panel count drives switchgear, enclosure, UPS, and panel-cabling BOQ. ±1 panel = ±PHP 250–400k.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Spare I/O = 20% per panel (DRC-004 narrative on BMS-01 typical for</w:t>
            </w:r>
            <w:r>
              <w:t xml:space="preserve"> </w:t>
            </w:r>
            <w:r>
              <w:t xml:space="preserve">“</w:t>
            </w:r>
            <w:r>
              <w:t xml:space="preserve">growth</w:t>
            </w:r>
            <w:r>
              <w:t xml:space="preserve">”</w:t>
            </w:r>
            <w:r>
              <w:t xml:space="preserve">).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Standard practice + spec narrative.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Spare drives controller sizing and cost.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Programming objects ≈ 1× per monitored equipment + 1 zone scheduler per BMS zone × 6 zones + standard alarm objects. Graphics ≈ 1 main dashboard + 1 page per zone (6) + 1 page per major plant (chiller, CHW, COW, cooling tower, boiler, calorifier, generator/ATS) = ~14 graphics.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Hospitality BMS heuristic.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Programming hours ±15%.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T&amp;C duration = 4 weeks (point-to-point + functional + integrated SAT) at ~150 points/week per technician.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Standard rate.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Manpower loading.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A-015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Air ionizer monitoring (Casino zone) = supplied with ionizer; BMS provides 2× DI (status, trip) + 1× AI (VOC) per ionizer via interposing relays at the AHU panel. No ionizer programming in BMS scope.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TUEC sheet shows ionizer monitoring is BMS-mapped but ionizer is by Equipment Supplier.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Confirm at site: small (±PHP 10–20k).</w:t>
            </w:r>
          </w:p>
        </w:tc>
      </w:tr>
    </w:tbl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2026-04-27T21:17:30Z</dcterms:created>
  <dcterms:modified xsi:type="dcterms:W3CDTF">2026-04-27T21:17:30Z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